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EF9EF" w14:textId="77777777" w:rsidR="006B4946" w:rsidRPr="00CC28D6" w:rsidRDefault="006B4946" w:rsidP="006B4946">
      <w:pPr>
        <w:pStyle w:val="BodyText"/>
        <w:spacing w:before="0" w:line="240" w:lineRule="auto"/>
        <w:ind w:left="3600" w:right="0" w:firstLine="720"/>
        <w:jc w:val="left"/>
        <w:rPr>
          <w:rFonts w:ascii="Arial" w:hAnsi="Arial" w:cs="Arial"/>
          <w:b w:val="0"/>
          <w:color w:val="62B5E5"/>
          <w:sz w:val="20"/>
          <w:szCs w:val="20"/>
        </w:rPr>
      </w:pPr>
      <w:r>
        <w:rPr>
          <w:rFonts w:ascii="DINOT-Medium"/>
          <w:b w:val="0"/>
          <w:noProof/>
          <w:sz w:val="20"/>
        </w:rPr>
        <w:drawing>
          <wp:anchor distT="0" distB="0" distL="114300" distR="114300" simplePos="0" relativeHeight="251659264" behindDoc="1" locked="0" layoutInCell="1" allowOverlap="1" wp14:anchorId="2E56FA77" wp14:editId="439A53FF">
            <wp:simplePos x="0" y="0"/>
            <wp:positionH relativeFrom="column">
              <wp:posOffset>107950</wp:posOffset>
            </wp:positionH>
            <wp:positionV relativeFrom="paragraph">
              <wp:posOffset>-639445</wp:posOffset>
            </wp:positionV>
            <wp:extent cx="2295443"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 Anniversar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443" cy="923925"/>
                    </a:xfrm>
                    <a:prstGeom prst="rect">
                      <a:avLst/>
                    </a:prstGeom>
                  </pic:spPr>
                </pic:pic>
              </a:graphicData>
            </a:graphic>
            <wp14:sizeRelH relativeFrom="margin">
              <wp14:pctWidth>0</wp14:pctWidth>
            </wp14:sizeRelH>
            <wp14:sizeRelV relativeFrom="margin">
              <wp14:pctHeight>0</wp14:pctHeight>
            </wp14:sizeRelV>
          </wp:anchor>
        </w:drawing>
      </w:r>
      <w:r w:rsidRPr="00F07BFC">
        <w:rPr>
          <w:rFonts w:cs="Arial"/>
          <w:color w:val="62B5E5"/>
          <w:sz w:val="20"/>
          <w:szCs w:val="20"/>
        </w:rPr>
        <w:t>O</w:t>
      </w:r>
      <w:r w:rsidRPr="00CC28D6">
        <w:rPr>
          <w:rFonts w:ascii="Arial" w:hAnsi="Arial" w:cs="Arial"/>
          <w:color w:val="62B5E5"/>
          <w:sz w:val="20"/>
          <w:szCs w:val="20"/>
        </w:rPr>
        <w:t xml:space="preserve">ur Mission: </w:t>
      </w:r>
      <w:r w:rsidRPr="00CC28D6">
        <w:rPr>
          <w:rFonts w:ascii="Arial" w:hAnsi="Arial" w:cs="Arial"/>
          <w:b w:val="0"/>
          <w:color w:val="62B5E5"/>
          <w:sz w:val="20"/>
          <w:szCs w:val="20"/>
        </w:rPr>
        <w:t xml:space="preserve">To drive efforts to cure psoriatic </w:t>
      </w:r>
    </w:p>
    <w:p w14:paraId="50672462" w14:textId="77777777" w:rsidR="006B4946" w:rsidRPr="00A6058D" w:rsidRDefault="006B4946" w:rsidP="006B4946">
      <w:pPr>
        <w:pStyle w:val="BodyText"/>
        <w:spacing w:before="0" w:line="240" w:lineRule="auto"/>
        <w:ind w:left="3600" w:right="0" w:firstLine="720"/>
        <w:jc w:val="left"/>
        <w:rPr>
          <w:rFonts w:ascii="Arial" w:hAnsi="Arial" w:cs="Arial"/>
          <w:b w:val="0"/>
          <w:color w:val="62B5E5"/>
          <w:sz w:val="22"/>
          <w:szCs w:val="22"/>
        </w:rPr>
      </w:pPr>
      <w:r w:rsidRPr="00A6058D">
        <w:rPr>
          <w:rFonts w:ascii="Arial" w:hAnsi="Arial" w:cs="Arial"/>
          <w:b w:val="0"/>
          <w:color w:val="62B5E5"/>
          <w:sz w:val="22"/>
          <w:szCs w:val="22"/>
        </w:rPr>
        <w:t>disease and improve the lives of those affected.</w:t>
      </w:r>
    </w:p>
    <w:p w14:paraId="06534F89" w14:textId="5EFE2ED5" w:rsidR="006B4946" w:rsidRPr="00A6058D" w:rsidRDefault="006B4946" w:rsidP="00D16084">
      <w:pPr>
        <w:pStyle w:val="BodyText"/>
        <w:tabs>
          <w:tab w:val="left" w:pos="2520"/>
        </w:tabs>
        <w:spacing w:before="0" w:line="240" w:lineRule="auto"/>
        <w:ind w:left="0" w:right="0"/>
        <w:jc w:val="left"/>
        <w:rPr>
          <w:rFonts w:cs="Arial"/>
          <w:color w:val="62B5E5"/>
          <w:sz w:val="22"/>
          <w:szCs w:val="22"/>
        </w:rPr>
      </w:pPr>
      <w:r w:rsidRPr="00A6058D">
        <w:rPr>
          <w:rFonts w:cs="Arial"/>
          <w:color w:val="62B5E5"/>
          <w:sz w:val="22"/>
          <w:szCs w:val="22"/>
        </w:rPr>
        <w:tab/>
      </w:r>
    </w:p>
    <w:p w14:paraId="68CFCFD2" w14:textId="2FDC1079" w:rsidR="003618B6" w:rsidRPr="00CB20DA" w:rsidRDefault="002F7B5D" w:rsidP="00DC4284">
      <w:pPr>
        <w:spacing w:after="0"/>
        <w:rPr>
          <w:rFonts w:ascii="Arial" w:hAnsi="Arial" w:cs="Arial"/>
        </w:rPr>
      </w:pPr>
      <w:r w:rsidRPr="00CB20DA">
        <w:rPr>
          <w:rFonts w:ascii="Arial" w:hAnsi="Arial" w:cs="Arial"/>
        </w:rPr>
        <w:t xml:space="preserve">July </w:t>
      </w:r>
      <w:r w:rsidR="006B1675">
        <w:rPr>
          <w:rFonts w:ascii="Arial" w:hAnsi="Arial" w:cs="Arial"/>
        </w:rPr>
        <w:t>27</w:t>
      </w:r>
      <w:bookmarkStart w:id="0" w:name="_GoBack"/>
      <w:bookmarkEnd w:id="0"/>
      <w:r w:rsidRPr="00CB20DA">
        <w:rPr>
          <w:rFonts w:ascii="Arial" w:hAnsi="Arial" w:cs="Arial"/>
        </w:rPr>
        <w:t>, 2020</w:t>
      </w:r>
    </w:p>
    <w:p w14:paraId="546BA48F" w14:textId="77777777" w:rsidR="00E80691" w:rsidRPr="00CB20DA" w:rsidRDefault="00E80691" w:rsidP="00DC4284">
      <w:pPr>
        <w:spacing w:after="0"/>
        <w:rPr>
          <w:rFonts w:ascii="Arial" w:hAnsi="Arial" w:cs="Arial"/>
        </w:rPr>
      </w:pPr>
    </w:p>
    <w:p w14:paraId="42D806FE" w14:textId="545E4CF4" w:rsidR="00875C1E" w:rsidRPr="00CB20DA" w:rsidRDefault="00AD7D89" w:rsidP="00DC4284">
      <w:pPr>
        <w:spacing w:after="0"/>
        <w:rPr>
          <w:rFonts w:ascii="Arial" w:hAnsi="Arial" w:cs="Arial"/>
        </w:rPr>
      </w:pPr>
      <w:r w:rsidRPr="00CB20DA">
        <w:rPr>
          <w:rFonts w:ascii="Arial" w:hAnsi="Arial" w:cs="Arial"/>
        </w:rPr>
        <w:t>Honorable Chair</w:t>
      </w:r>
      <w:r w:rsidR="00A374D4" w:rsidRPr="00CB20DA">
        <w:rPr>
          <w:rFonts w:ascii="Arial" w:hAnsi="Arial" w:cs="Arial"/>
        </w:rPr>
        <w:t xml:space="preserve"> Yvanna D. Cancela</w:t>
      </w:r>
    </w:p>
    <w:p w14:paraId="6A05CA0C" w14:textId="77777777" w:rsidR="00CB20DA" w:rsidRPr="00CB20DA" w:rsidRDefault="00CB20DA" w:rsidP="00CB20DA">
      <w:pPr>
        <w:spacing w:after="0" w:line="240" w:lineRule="auto"/>
        <w:rPr>
          <w:rFonts w:ascii="Arial" w:hAnsi="Arial" w:cs="Arial"/>
        </w:rPr>
      </w:pPr>
      <w:r w:rsidRPr="00CB20DA">
        <w:rPr>
          <w:rFonts w:ascii="Arial" w:hAnsi="Arial" w:cs="Arial"/>
        </w:rPr>
        <w:t>Committee to Conduct an Interim Study Concerning the Costs of Prescription Drugs (SB276)</w:t>
      </w:r>
    </w:p>
    <w:p w14:paraId="7B25136F" w14:textId="77777777" w:rsidR="00CB20DA" w:rsidRPr="00CB20DA" w:rsidRDefault="00CB20DA" w:rsidP="00CB20DA">
      <w:pPr>
        <w:spacing w:after="0" w:line="240" w:lineRule="auto"/>
        <w:rPr>
          <w:rFonts w:ascii="Arial" w:hAnsi="Arial" w:cs="Arial"/>
          <w:highlight w:val="yellow"/>
        </w:rPr>
      </w:pPr>
      <w:r w:rsidRPr="00CB20DA">
        <w:rPr>
          <w:rFonts w:ascii="Arial" w:hAnsi="Arial" w:cs="Arial"/>
        </w:rPr>
        <w:t>Nevada Legislature  </w:t>
      </w:r>
    </w:p>
    <w:p w14:paraId="58678ACD" w14:textId="77777777" w:rsidR="00CB20DA" w:rsidRPr="00CB20DA" w:rsidRDefault="00CB20DA" w:rsidP="00CB20DA">
      <w:pPr>
        <w:spacing w:after="0" w:line="240" w:lineRule="auto"/>
        <w:rPr>
          <w:rFonts w:ascii="Arial" w:hAnsi="Arial" w:cs="Arial"/>
        </w:rPr>
      </w:pPr>
      <w:r w:rsidRPr="00CB20DA">
        <w:rPr>
          <w:rFonts w:ascii="Arial" w:hAnsi="Arial" w:cs="Arial"/>
        </w:rPr>
        <w:t>Carson City, NV</w:t>
      </w:r>
    </w:p>
    <w:p w14:paraId="57D40557" w14:textId="77777777" w:rsidR="00AD7D89" w:rsidRPr="00CB20DA" w:rsidRDefault="00AD7D89" w:rsidP="00753009">
      <w:pPr>
        <w:spacing w:after="0" w:line="240" w:lineRule="auto"/>
        <w:rPr>
          <w:rFonts w:ascii="Arial" w:hAnsi="Arial" w:cs="Arial"/>
          <w:b/>
        </w:rPr>
      </w:pPr>
    </w:p>
    <w:p w14:paraId="74910946" w14:textId="48307F49" w:rsidR="003618B6" w:rsidRPr="00CB20DA" w:rsidRDefault="003618B6" w:rsidP="00753009">
      <w:pPr>
        <w:spacing w:after="0" w:line="240" w:lineRule="auto"/>
        <w:rPr>
          <w:rFonts w:ascii="Arial" w:hAnsi="Arial" w:cs="Arial"/>
          <w:b/>
        </w:rPr>
      </w:pPr>
      <w:r w:rsidRPr="00CB20DA">
        <w:rPr>
          <w:rFonts w:ascii="Arial" w:hAnsi="Arial" w:cs="Arial"/>
          <w:b/>
        </w:rPr>
        <w:t xml:space="preserve">RE: </w:t>
      </w:r>
      <w:r w:rsidR="00CB20DA">
        <w:rPr>
          <w:rFonts w:ascii="Arial" w:hAnsi="Arial" w:cs="Arial"/>
          <w:b/>
        </w:rPr>
        <w:t>August 10</w:t>
      </w:r>
      <w:r w:rsidR="00CB20DA" w:rsidRPr="00CB20DA">
        <w:rPr>
          <w:rFonts w:ascii="Arial" w:hAnsi="Arial" w:cs="Arial"/>
          <w:b/>
          <w:vertAlign w:val="superscript"/>
        </w:rPr>
        <w:t>th</w:t>
      </w:r>
      <w:r w:rsidR="00CB20DA">
        <w:rPr>
          <w:rFonts w:ascii="Arial" w:hAnsi="Arial" w:cs="Arial"/>
          <w:b/>
        </w:rPr>
        <w:t xml:space="preserve"> Work Session ---Step Therapy</w:t>
      </w:r>
    </w:p>
    <w:p w14:paraId="24585405" w14:textId="4BD99005" w:rsidR="007378AE" w:rsidRPr="00CB20DA" w:rsidRDefault="007378AE" w:rsidP="00753009">
      <w:pPr>
        <w:spacing w:after="0" w:line="240" w:lineRule="auto"/>
        <w:rPr>
          <w:rFonts w:ascii="Arial" w:hAnsi="Arial" w:cs="Arial"/>
        </w:rPr>
      </w:pPr>
    </w:p>
    <w:p w14:paraId="7476F5DE" w14:textId="7D0CA6D3" w:rsidR="00AC7709" w:rsidRPr="00CB20DA" w:rsidRDefault="00AC7709" w:rsidP="00753009">
      <w:pPr>
        <w:spacing w:after="0" w:line="240" w:lineRule="auto"/>
        <w:rPr>
          <w:rFonts w:ascii="Arial" w:hAnsi="Arial" w:cs="Arial"/>
        </w:rPr>
      </w:pPr>
      <w:r w:rsidRPr="00CB20DA">
        <w:rPr>
          <w:rFonts w:ascii="Arial" w:hAnsi="Arial" w:cs="Arial"/>
        </w:rPr>
        <w:t xml:space="preserve">Dear </w:t>
      </w:r>
      <w:r w:rsidR="00CB20DA">
        <w:rPr>
          <w:rFonts w:ascii="Arial" w:hAnsi="Arial" w:cs="Arial"/>
        </w:rPr>
        <w:t>Chair Cancela</w:t>
      </w:r>
      <w:r w:rsidR="008717D0">
        <w:rPr>
          <w:rFonts w:ascii="Arial" w:hAnsi="Arial" w:cs="Arial"/>
        </w:rPr>
        <w:t xml:space="preserve"> and members of the committee</w:t>
      </w:r>
      <w:r w:rsidR="00CB20DA">
        <w:rPr>
          <w:rFonts w:ascii="Arial" w:hAnsi="Arial" w:cs="Arial"/>
        </w:rPr>
        <w:t xml:space="preserve">, </w:t>
      </w:r>
      <w:r w:rsidRPr="00CB20DA">
        <w:rPr>
          <w:rFonts w:ascii="Arial" w:hAnsi="Arial" w:cs="Arial"/>
        </w:rPr>
        <w:t xml:space="preserve"> </w:t>
      </w:r>
    </w:p>
    <w:p w14:paraId="6F73B424" w14:textId="77777777" w:rsidR="00AC7709" w:rsidRPr="00CB20DA" w:rsidRDefault="00AC7709" w:rsidP="00753009">
      <w:pPr>
        <w:spacing w:after="0" w:line="240" w:lineRule="auto"/>
        <w:rPr>
          <w:rFonts w:ascii="Arial" w:hAnsi="Arial" w:cs="Arial"/>
        </w:rPr>
      </w:pPr>
    </w:p>
    <w:p w14:paraId="6EB25AF8" w14:textId="70A23CBF" w:rsidR="008E47C7" w:rsidRPr="00CB20DA" w:rsidRDefault="008E47C7" w:rsidP="00753009">
      <w:pPr>
        <w:pStyle w:val="BodyText"/>
        <w:spacing w:before="0" w:line="240" w:lineRule="auto"/>
        <w:ind w:left="0" w:right="0"/>
        <w:jc w:val="left"/>
        <w:rPr>
          <w:rFonts w:ascii="Arial" w:hAnsi="Arial" w:cs="Arial"/>
          <w:b w:val="0"/>
          <w:sz w:val="22"/>
          <w:szCs w:val="22"/>
        </w:rPr>
      </w:pPr>
      <w:r w:rsidRPr="00CB20DA">
        <w:rPr>
          <w:rFonts w:ascii="Arial" w:hAnsi="Arial" w:cs="Arial"/>
          <w:b w:val="0"/>
          <w:sz w:val="22"/>
          <w:szCs w:val="22"/>
        </w:rPr>
        <w:t>The National Psoriasis Foundation (NPF) is a non-profit organization with a mission to drive efforts to cure psoriatic disease and improve the lives of those affected. The NPF is the leading patient advocacy group for more than 8.3 million Americans</w:t>
      </w:r>
      <w:r w:rsidR="0096496A">
        <w:rPr>
          <w:rFonts w:ascii="Arial" w:hAnsi="Arial" w:cs="Arial"/>
          <w:b w:val="0"/>
          <w:sz w:val="22"/>
          <w:szCs w:val="22"/>
        </w:rPr>
        <w:t xml:space="preserve"> and over </w:t>
      </w:r>
      <w:r w:rsidR="003B26C1">
        <w:rPr>
          <w:rFonts w:ascii="Arial" w:hAnsi="Arial" w:cs="Arial"/>
          <w:b w:val="0"/>
          <w:sz w:val="22"/>
          <w:szCs w:val="22"/>
        </w:rPr>
        <w:t xml:space="preserve">than </w:t>
      </w:r>
      <w:r w:rsidR="0096496A">
        <w:rPr>
          <w:rFonts w:ascii="Arial" w:hAnsi="Arial" w:cs="Arial"/>
          <w:b w:val="0"/>
          <w:sz w:val="22"/>
          <w:szCs w:val="22"/>
        </w:rPr>
        <w:t>74,000 Nev</w:t>
      </w:r>
      <w:r w:rsidR="00D64FB8">
        <w:rPr>
          <w:rFonts w:ascii="Arial" w:hAnsi="Arial" w:cs="Arial"/>
          <w:b w:val="0"/>
          <w:sz w:val="22"/>
          <w:szCs w:val="22"/>
        </w:rPr>
        <w:t xml:space="preserve">ada </w:t>
      </w:r>
      <w:r w:rsidR="00F74209" w:rsidRPr="00CB20DA">
        <w:rPr>
          <w:rFonts w:ascii="Arial" w:hAnsi="Arial" w:cs="Arial"/>
          <w:b w:val="0"/>
          <w:sz w:val="22"/>
          <w:szCs w:val="22"/>
        </w:rPr>
        <w:t xml:space="preserve">residents </w:t>
      </w:r>
      <w:r w:rsidRPr="00CB20DA">
        <w:rPr>
          <w:rFonts w:ascii="Arial" w:hAnsi="Arial" w:cs="Arial"/>
          <w:b w:val="0"/>
          <w:sz w:val="22"/>
          <w:szCs w:val="22"/>
        </w:rPr>
        <w:t xml:space="preserve">living with psoriasis and psoriatic arthritis. </w:t>
      </w:r>
      <w:r w:rsidR="00D85E80">
        <w:rPr>
          <w:rFonts w:ascii="Arial" w:hAnsi="Arial" w:cs="Arial"/>
          <w:b w:val="0"/>
          <w:sz w:val="22"/>
          <w:szCs w:val="22"/>
        </w:rPr>
        <w:t>We</w:t>
      </w:r>
      <w:r w:rsidRPr="00CB20DA">
        <w:rPr>
          <w:rFonts w:ascii="Arial" w:hAnsi="Arial" w:cs="Arial"/>
          <w:b w:val="0"/>
          <w:sz w:val="22"/>
          <w:szCs w:val="22"/>
        </w:rPr>
        <w:t xml:space="preserve"> write to you today to express our support </w:t>
      </w:r>
      <w:r w:rsidR="00D64FB8">
        <w:rPr>
          <w:rFonts w:ascii="Arial" w:hAnsi="Arial" w:cs="Arial"/>
          <w:b w:val="0"/>
          <w:sz w:val="22"/>
          <w:szCs w:val="22"/>
        </w:rPr>
        <w:t xml:space="preserve">for legislation </w:t>
      </w:r>
      <w:r w:rsidR="00DA3F38">
        <w:rPr>
          <w:rFonts w:ascii="Arial" w:hAnsi="Arial" w:cs="Arial"/>
          <w:b w:val="0"/>
          <w:sz w:val="22"/>
          <w:szCs w:val="22"/>
        </w:rPr>
        <w:t xml:space="preserve">in 2021 </w:t>
      </w:r>
      <w:r w:rsidR="00D64FB8">
        <w:rPr>
          <w:rFonts w:ascii="Arial" w:hAnsi="Arial" w:cs="Arial"/>
          <w:b w:val="0"/>
          <w:sz w:val="22"/>
          <w:szCs w:val="22"/>
        </w:rPr>
        <w:t>to reform</w:t>
      </w:r>
      <w:r w:rsidR="004A5253">
        <w:rPr>
          <w:rFonts w:ascii="Arial" w:hAnsi="Arial" w:cs="Arial"/>
          <w:b w:val="0"/>
          <w:sz w:val="22"/>
          <w:szCs w:val="22"/>
        </w:rPr>
        <w:t xml:space="preserve"> step therapy protocol. </w:t>
      </w:r>
    </w:p>
    <w:p w14:paraId="2AD8B8F8" w14:textId="77777777" w:rsidR="00D15A8C" w:rsidRPr="00CB20DA" w:rsidRDefault="00D15A8C" w:rsidP="00753009">
      <w:pPr>
        <w:spacing w:after="0" w:line="240" w:lineRule="auto"/>
        <w:rPr>
          <w:rFonts w:ascii="Arial" w:hAnsi="Arial" w:cs="Arial"/>
        </w:rPr>
      </w:pPr>
    </w:p>
    <w:p w14:paraId="1F55AE18" w14:textId="5156CA1E" w:rsidR="00AD3A42" w:rsidRPr="00CB20DA" w:rsidRDefault="00592B6A" w:rsidP="00753009">
      <w:pPr>
        <w:spacing w:after="0" w:line="240" w:lineRule="auto"/>
        <w:rPr>
          <w:rStyle w:val="normaltextrun"/>
          <w:rFonts w:ascii="Arial" w:hAnsi="Arial" w:cs="Arial"/>
          <w:color w:val="000000"/>
          <w:shd w:val="clear" w:color="auto" w:fill="FFFFFF"/>
        </w:rPr>
      </w:pPr>
      <w:r w:rsidRPr="00592B6A">
        <w:rPr>
          <w:rStyle w:val="normaltextrun"/>
          <w:rFonts w:ascii="Arial" w:hAnsi="Arial" w:cs="Arial"/>
          <w:color w:val="000000"/>
          <w:shd w:val="clear" w:color="auto" w:fill="FFFFFF"/>
        </w:rPr>
        <w:t>Step therapy is a form of prior authorization where health carriers approve a prescription drug or class of drugs for a medical condition based on cost effectiveness and treatment best practices.  Step therapy requires the patient to begin treatment with the approved drug.  If the patient fails to respond to the drug or experiences an adverse effect, then coverage is generally allowed for another drug prescribed by the patient's health care provider.</w:t>
      </w:r>
      <w:r w:rsidR="00D15E63">
        <w:rPr>
          <w:rStyle w:val="normaltextrun"/>
          <w:rFonts w:ascii="Arial" w:hAnsi="Arial" w:cs="Arial"/>
          <w:color w:val="000000"/>
          <w:shd w:val="clear" w:color="auto" w:fill="FFFFFF"/>
        </w:rPr>
        <w:t xml:space="preserve"> </w:t>
      </w:r>
      <w:r w:rsidR="007E34B1" w:rsidRPr="00CB20DA">
        <w:rPr>
          <w:rStyle w:val="normaltextrun"/>
          <w:rFonts w:ascii="Arial" w:hAnsi="Arial" w:cs="Arial"/>
          <w:color w:val="000000"/>
          <w:shd w:val="clear" w:color="auto" w:fill="FFFFFF"/>
        </w:rPr>
        <w:t>Due to the heterogeneous nature of psoriatic disease, patients need access to a broad range of treatment choices, making a one-size-fits-all approach harmful for patients.</w:t>
      </w:r>
    </w:p>
    <w:p w14:paraId="014756D7" w14:textId="77777777" w:rsidR="007E34B1" w:rsidRPr="00CB20DA" w:rsidRDefault="007E34B1" w:rsidP="00753009">
      <w:pPr>
        <w:spacing w:after="0" w:line="240" w:lineRule="auto"/>
        <w:rPr>
          <w:rFonts w:ascii="Arial" w:hAnsi="Arial" w:cs="Arial"/>
        </w:rPr>
      </w:pPr>
    </w:p>
    <w:p w14:paraId="3FD7636A" w14:textId="3FB3D4F3" w:rsidR="003F3EDD" w:rsidRDefault="003F3EDD" w:rsidP="00226662">
      <w:pPr>
        <w:rPr>
          <w:rFonts w:ascii="Arial" w:hAnsi="Arial" w:cs="Arial"/>
        </w:rPr>
      </w:pPr>
      <w:r>
        <w:rPr>
          <w:rFonts w:ascii="Arial" w:hAnsi="Arial" w:cs="Arial"/>
        </w:rPr>
        <w:t>We a</w:t>
      </w:r>
      <w:r w:rsidR="002B69F2">
        <w:rPr>
          <w:rFonts w:ascii="Arial" w:hAnsi="Arial" w:cs="Arial"/>
        </w:rPr>
        <w:t>re writing to offer the following principles</w:t>
      </w:r>
      <w:r w:rsidR="006F2FB8">
        <w:rPr>
          <w:rFonts w:ascii="Arial" w:hAnsi="Arial" w:cs="Arial"/>
        </w:rPr>
        <w:t xml:space="preserve">, when considering </w:t>
      </w:r>
      <w:r w:rsidR="00F67C0A">
        <w:rPr>
          <w:rFonts w:ascii="Arial" w:hAnsi="Arial" w:cs="Arial"/>
        </w:rPr>
        <w:t xml:space="preserve">legislation on step therapy reform for 2021. </w:t>
      </w:r>
      <w:r w:rsidR="00F67C0A" w:rsidRPr="005F01EE">
        <w:rPr>
          <w:rFonts w:ascii="Arial" w:hAnsi="Arial" w:cs="Arial"/>
          <w:shd w:val="clear" w:color="auto" w:fill="FFFFFF"/>
        </w:rPr>
        <w:t xml:space="preserve">These guiding principles emphasize the importance of allowing appropriate access to care while also recognizing the primacy of the patient-physician relationship </w:t>
      </w:r>
      <w:r w:rsidR="00F67C0A">
        <w:rPr>
          <w:rFonts w:ascii="Arial" w:hAnsi="Arial" w:cs="Arial"/>
          <w:shd w:val="clear" w:color="auto" w:fill="FFFFFF"/>
        </w:rPr>
        <w:t xml:space="preserve">when accessing treatment and care. </w:t>
      </w:r>
    </w:p>
    <w:p w14:paraId="7DCE869C" w14:textId="77777777" w:rsidR="00314494" w:rsidRPr="00314494" w:rsidRDefault="00314494" w:rsidP="00314494">
      <w:pPr>
        <w:pStyle w:val="Normal1"/>
        <w:pBdr>
          <w:bottom w:val="single" w:sz="4" w:space="1" w:color="auto"/>
        </w:pBdr>
        <w:spacing w:after="0" w:line="240" w:lineRule="auto"/>
        <w:rPr>
          <w:rFonts w:ascii="Arial" w:hAnsi="Arial" w:cs="Arial"/>
          <w:b/>
          <w:szCs w:val="22"/>
        </w:rPr>
      </w:pPr>
      <w:r w:rsidRPr="00314494">
        <w:rPr>
          <w:rFonts w:ascii="Arial" w:hAnsi="Arial" w:cs="Arial"/>
          <w:b/>
          <w:szCs w:val="22"/>
        </w:rPr>
        <w:t>Guiding Principles</w:t>
      </w:r>
    </w:p>
    <w:p w14:paraId="770F110B" w14:textId="77777777" w:rsidR="00314494" w:rsidRPr="00314494" w:rsidRDefault="00314494" w:rsidP="00314494">
      <w:pPr>
        <w:pStyle w:val="Normal1"/>
        <w:spacing w:after="0" w:line="240" w:lineRule="auto"/>
        <w:rPr>
          <w:rFonts w:ascii="Arial" w:hAnsi="Arial" w:cs="Arial"/>
          <w:szCs w:val="22"/>
        </w:rPr>
      </w:pPr>
    </w:p>
    <w:p w14:paraId="180DD54D" w14:textId="453CE02D" w:rsidR="00314494" w:rsidRPr="00314494" w:rsidRDefault="00314494" w:rsidP="00314494">
      <w:pPr>
        <w:pStyle w:val="ListParagraph"/>
        <w:numPr>
          <w:ilvl w:val="0"/>
          <w:numId w:val="2"/>
        </w:numPr>
        <w:tabs>
          <w:tab w:val="left" w:pos="630"/>
        </w:tabs>
        <w:spacing w:after="0" w:line="240" w:lineRule="auto"/>
        <w:ind w:left="360"/>
        <w:rPr>
          <w:rFonts w:ascii="Arial" w:hAnsi="Arial" w:cs="Arial"/>
          <w:b/>
          <w:i/>
        </w:rPr>
      </w:pPr>
      <w:r w:rsidRPr="00314494">
        <w:rPr>
          <w:rFonts w:ascii="Arial" w:hAnsi="Arial" w:cs="Arial"/>
          <w:b/>
          <w:i/>
        </w:rPr>
        <w:t xml:space="preserve">Guarantee that patients and providers have access to a clearly disclosed list of drugs when </w:t>
      </w:r>
      <w:r w:rsidR="0030043F">
        <w:rPr>
          <w:rFonts w:ascii="Arial" w:hAnsi="Arial" w:cs="Arial"/>
          <w:b/>
          <w:i/>
        </w:rPr>
        <w:t>step therapy</w:t>
      </w:r>
      <w:r w:rsidRPr="00314494">
        <w:rPr>
          <w:rFonts w:ascii="Arial" w:hAnsi="Arial" w:cs="Arial"/>
          <w:b/>
          <w:i/>
        </w:rPr>
        <w:t xml:space="preserve"> is used in prescription drugs, along with required documentation and related information that needs to be submitted for a completed exception request. </w:t>
      </w:r>
    </w:p>
    <w:p w14:paraId="65BC99A7" w14:textId="77777777" w:rsidR="00314494" w:rsidRPr="00314494" w:rsidRDefault="00314494" w:rsidP="00314494">
      <w:pPr>
        <w:pStyle w:val="ListParagraph"/>
        <w:tabs>
          <w:tab w:val="left" w:pos="630"/>
        </w:tabs>
        <w:spacing w:after="0" w:line="240" w:lineRule="auto"/>
        <w:ind w:left="360"/>
        <w:rPr>
          <w:rFonts w:ascii="Arial" w:hAnsi="Arial" w:cs="Arial"/>
          <w:b/>
          <w:i/>
        </w:rPr>
      </w:pPr>
    </w:p>
    <w:p w14:paraId="0F5F7BBB" w14:textId="77777777" w:rsidR="00314494" w:rsidRPr="00314494" w:rsidRDefault="00314494" w:rsidP="00314494">
      <w:pPr>
        <w:spacing w:after="0" w:line="240" w:lineRule="auto"/>
        <w:ind w:left="360"/>
        <w:rPr>
          <w:rFonts w:ascii="Times New Roman" w:hAnsi="Times New Roman" w:cs="Times New Roman"/>
        </w:rPr>
      </w:pPr>
      <w:r w:rsidRPr="00314494">
        <w:rPr>
          <w:rFonts w:ascii="Arial" w:hAnsi="Arial" w:cs="Arial"/>
        </w:rPr>
        <w:t xml:space="preserve">Each day, our patients and providers face the reality of barriers to health care through utilization management practices that impact treatment, health, and well-being. When these policies interfere with the patient-physician relationship, they can result in delayed treatment, increased disease activity, loss of function, and potentially irreversible disease progression. For providers, utilization management exacerbates administrative burdens as they help patients navigate complicated and often opaque coverage determination processes. Several studies have found that the time and administrative burden associated with step therapy presents an obstacle to access that may lead to unnecessary breaks in treatment. These findings show that 17% to 22% of patients did </w:t>
      </w:r>
      <w:r w:rsidRPr="00314494">
        <w:rPr>
          <w:rFonts w:ascii="Arial" w:hAnsi="Arial" w:cs="Arial"/>
          <w:i/>
          <w:iCs/>
        </w:rPr>
        <w:t>not</w:t>
      </w:r>
      <w:r w:rsidRPr="00314494">
        <w:rPr>
          <w:rFonts w:ascii="Arial" w:hAnsi="Arial" w:cs="Arial"/>
        </w:rPr>
        <w:t xml:space="preserve"> submit any prescription claim to their </w:t>
      </w:r>
      <w:r w:rsidRPr="00314494">
        <w:rPr>
          <w:rFonts w:ascii="Arial" w:hAnsi="Arial" w:cs="Arial"/>
        </w:rPr>
        <w:lastRenderedPageBreak/>
        <w:t>insurance provider following a step therapy edit. Instead these patients ended up forgoing treatment.</w:t>
      </w:r>
      <w:r w:rsidRPr="00314494">
        <w:rPr>
          <w:rStyle w:val="FootnoteReference"/>
          <w:rFonts w:ascii="Arial" w:hAnsi="Arial" w:cs="Arial"/>
        </w:rPr>
        <w:footnoteReference w:id="1"/>
      </w:r>
      <w:r w:rsidRPr="00314494">
        <w:rPr>
          <w:rFonts w:ascii="Arial" w:hAnsi="Arial" w:cs="Arial"/>
          <w:vertAlign w:val="superscript"/>
        </w:rPr>
        <w:t>,</w:t>
      </w:r>
      <w:r w:rsidRPr="00314494">
        <w:rPr>
          <w:rStyle w:val="EndnoteReference"/>
          <w:rFonts w:ascii="Arial" w:hAnsi="Arial" w:cs="Arial"/>
        </w:rPr>
        <w:t xml:space="preserve"> </w:t>
      </w:r>
      <w:r w:rsidRPr="00314494">
        <w:rPr>
          <w:rStyle w:val="FootnoteReference"/>
          <w:rFonts w:ascii="Arial" w:hAnsi="Arial" w:cs="Arial"/>
        </w:rPr>
        <w:footnoteReference w:id="2"/>
      </w:r>
    </w:p>
    <w:p w14:paraId="5D1A632A" w14:textId="77777777" w:rsidR="00314494" w:rsidRPr="00314494" w:rsidRDefault="00314494" w:rsidP="00314494">
      <w:pPr>
        <w:tabs>
          <w:tab w:val="left" w:pos="630"/>
        </w:tabs>
        <w:spacing w:after="0" w:line="240" w:lineRule="auto"/>
        <w:ind w:left="360"/>
        <w:rPr>
          <w:rFonts w:ascii="Arial" w:hAnsi="Arial" w:cs="Arial"/>
        </w:rPr>
      </w:pPr>
    </w:p>
    <w:p w14:paraId="585B1EDE" w14:textId="127ABDC6" w:rsidR="00314494" w:rsidRPr="00314494" w:rsidRDefault="0091350E" w:rsidP="00314494">
      <w:pPr>
        <w:tabs>
          <w:tab w:val="left" w:pos="630"/>
        </w:tabs>
        <w:spacing w:after="0" w:line="240" w:lineRule="auto"/>
        <w:ind w:left="360"/>
        <w:rPr>
          <w:rFonts w:ascii="Arial" w:hAnsi="Arial" w:cs="Arial"/>
        </w:rPr>
      </w:pPr>
      <w:r>
        <w:rPr>
          <w:rFonts w:ascii="Arial" w:hAnsi="Arial" w:cs="Arial"/>
        </w:rPr>
        <w:t>Carriers</w:t>
      </w:r>
      <w:r w:rsidRPr="00314494">
        <w:rPr>
          <w:rFonts w:ascii="Arial" w:hAnsi="Arial" w:cs="Arial"/>
        </w:rPr>
        <w:t xml:space="preserve"> should</w:t>
      </w:r>
      <w:r w:rsidR="00314494" w:rsidRPr="00314494">
        <w:rPr>
          <w:rFonts w:ascii="Arial" w:hAnsi="Arial" w:cs="Arial"/>
        </w:rPr>
        <w:t xml:space="preserve"> make the process transparent and straightforward so patients and providers can easily access the information they need to meet the plan’s documentation requirements and have that information be explicit regarding the circumstances that warrant a potential exception.</w:t>
      </w:r>
    </w:p>
    <w:p w14:paraId="3ABC17F8" w14:textId="77777777" w:rsidR="00314494" w:rsidRPr="00314494" w:rsidRDefault="00314494" w:rsidP="00314494">
      <w:pPr>
        <w:pStyle w:val="ListParagraph"/>
        <w:tabs>
          <w:tab w:val="left" w:pos="630"/>
        </w:tabs>
        <w:spacing w:after="0" w:line="240" w:lineRule="auto"/>
        <w:ind w:left="360"/>
        <w:rPr>
          <w:rFonts w:ascii="Arial" w:hAnsi="Arial" w:cs="Arial"/>
          <w:b/>
          <w:i/>
        </w:rPr>
      </w:pPr>
    </w:p>
    <w:p w14:paraId="5CF05F75" w14:textId="222B77A4" w:rsidR="00314494" w:rsidRPr="00314494" w:rsidRDefault="00314494" w:rsidP="00314494">
      <w:pPr>
        <w:pStyle w:val="ListParagraph"/>
        <w:numPr>
          <w:ilvl w:val="0"/>
          <w:numId w:val="2"/>
        </w:numPr>
        <w:tabs>
          <w:tab w:val="left" w:pos="630"/>
        </w:tabs>
        <w:spacing w:after="0" w:line="240" w:lineRule="auto"/>
        <w:ind w:left="360"/>
        <w:rPr>
          <w:rFonts w:ascii="Arial" w:hAnsi="Arial" w:cs="Arial"/>
          <w:b/>
          <w:i/>
        </w:rPr>
      </w:pPr>
      <w:r w:rsidRPr="00314494">
        <w:rPr>
          <w:rFonts w:ascii="Arial" w:hAnsi="Arial" w:cs="Arial"/>
          <w:b/>
          <w:i/>
        </w:rPr>
        <w:t xml:space="preserve">Ensure </w:t>
      </w:r>
      <w:r w:rsidR="00BE3070">
        <w:rPr>
          <w:rFonts w:ascii="Arial" w:hAnsi="Arial" w:cs="Arial"/>
          <w:b/>
          <w:i/>
        </w:rPr>
        <w:t>step therapy</w:t>
      </w:r>
      <w:r w:rsidRPr="00314494">
        <w:rPr>
          <w:rFonts w:ascii="Arial" w:hAnsi="Arial" w:cs="Arial"/>
          <w:b/>
          <w:i/>
        </w:rPr>
        <w:t xml:space="preserve"> protocols are based on clinical guidelines that are crafted by currently practicing clinical specialists so that medicine expertise, not cost, dictate requirements. </w:t>
      </w:r>
    </w:p>
    <w:p w14:paraId="0C8AE798" w14:textId="77777777" w:rsidR="00314494" w:rsidRPr="00314494" w:rsidRDefault="00314494" w:rsidP="00314494">
      <w:pPr>
        <w:pStyle w:val="ListParagraph"/>
        <w:tabs>
          <w:tab w:val="left" w:pos="630"/>
        </w:tabs>
        <w:spacing w:after="0" w:line="240" w:lineRule="auto"/>
        <w:ind w:left="360"/>
        <w:rPr>
          <w:rFonts w:ascii="Arial" w:hAnsi="Arial" w:cs="Arial"/>
          <w:b/>
          <w:i/>
        </w:rPr>
      </w:pPr>
    </w:p>
    <w:p w14:paraId="47E36EC3" w14:textId="2E680BA2" w:rsidR="00314494" w:rsidRPr="00314494" w:rsidRDefault="00BE3070" w:rsidP="00314494">
      <w:pPr>
        <w:pStyle w:val="ListParagraph"/>
        <w:tabs>
          <w:tab w:val="left" w:pos="630"/>
        </w:tabs>
        <w:spacing w:after="0" w:line="240" w:lineRule="auto"/>
        <w:ind w:left="360"/>
        <w:rPr>
          <w:rFonts w:ascii="Arial" w:hAnsi="Arial" w:cs="Arial"/>
        </w:rPr>
      </w:pPr>
      <w:r>
        <w:rPr>
          <w:rFonts w:ascii="Arial" w:hAnsi="Arial" w:cs="Arial"/>
        </w:rPr>
        <w:t>Step therapy</w:t>
      </w:r>
      <w:r w:rsidR="00314494" w:rsidRPr="00314494">
        <w:rPr>
          <w:rFonts w:ascii="Arial" w:hAnsi="Arial" w:cs="Arial"/>
        </w:rPr>
        <w:t xml:space="preserve"> protocols are not required to follow clinical practice guidelines, published by experts in the field of specialty creating unnecessary and harmful hurdles to accessing accepted standards of care. </w:t>
      </w:r>
      <w:r w:rsidR="002B58FC">
        <w:rPr>
          <w:rFonts w:ascii="Arial" w:hAnsi="Arial" w:cs="Arial"/>
        </w:rPr>
        <w:t>Currently, carriers may design their prescription drug benefit plan</w:t>
      </w:r>
      <w:r w:rsidR="008D16B2">
        <w:rPr>
          <w:rFonts w:ascii="Arial" w:hAnsi="Arial" w:cs="Arial"/>
        </w:rPr>
        <w:t xml:space="preserve"> </w:t>
      </w:r>
      <w:r w:rsidR="003D68E7">
        <w:rPr>
          <w:rFonts w:ascii="Arial" w:hAnsi="Arial" w:cs="Arial"/>
        </w:rPr>
        <w:t xml:space="preserve">and </w:t>
      </w:r>
      <w:r w:rsidR="00B93B11">
        <w:rPr>
          <w:rFonts w:ascii="Arial" w:hAnsi="Arial" w:cs="Arial"/>
        </w:rPr>
        <w:t xml:space="preserve">often time base their tiering and placement </w:t>
      </w:r>
      <w:r w:rsidR="003675A2">
        <w:rPr>
          <w:rFonts w:ascii="Arial" w:hAnsi="Arial" w:cs="Arial"/>
        </w:rPr>
        <w:t xml:space="preserve">or preferred verse non-preferred drugs </w:t>
      </w:r>
      <w:r w:rsidR="00D54878">
        <w:rPr>
          <w:rFonts w:ascii="Arial" w:hAnsi="Arial" w:cs="Arial"/>
        </w:rPr>
        <w:t>off</w:t>
      </w:r>
      <w:r w:rsidR="003675A2">
        <w:rPr>
          <w:rFonts w:ascii="Arial" w:hAnsi="Arial" w:cs="Arial"/>
        </w:rPr>
        <w:t xml:space="preserve"> </w:t>
      </w:r>
      <w:r w:rsidR="00D54878">
        <w:rPr>
          <w:rFonts w:ascii="Arial" w:hAnsi="Arial" w:cs="Arial"/>
        </w:rPr>
        <w:t xml:space="preserve">economics rather than science. </w:t>
      </w:r>
      <w:r w:rsidR="00314494" w:rsidRPr="00314494">
        <w:rPr>
          <w:rFonts w:ascii="Arial" w:hAnsi="Arial" w:cs="Arial"/>
        </w:rPr>
        <w:t xml:space="preserve">A recent study shows that these protocols, specifically step therapy protocol, are inconsistent across payers, creating additional confusion and frustration for patients and their providers acting on their behalf. </w:t>
      </w:r>
      <w:r w:rsidR="00314494" w:rsidRPr="00314494">
        <w:rPr>
          <w:rStyle w:val="FootnoteReference"/>
          <w:rFonts w:ascii="Arial" w:hAnsi="Arial" w:cs="Arial"/>
        </w:rPr>
        <w:footnoteReference w:id="3"/>
      </w:r>
      <w:r w:rsidR="00314494" w:rsidRPr="00314494">
        <w:rPr>
          <w:rFonts w:ascii="Arial" w:hAnsi="Arial" w:cs="Arial"/>
        </w:rPr>
        <w:t xml:space="preserve"> This is why we encourage </w:t>
      </w:r>
      <w:r w:rsidR="00866768">
        <w:rPr>
          <w:rFonts w:ascii="Arial" w:hAnsi="Arial" w:cs="Arial"/>
        </w:rPr>
        <w:t>the legislature</w:t>
      </w:r>
      <w:r w:rsidR="00314494" w:rsidRPr="00314494">
        <w:rPr>
          <w:rFonts w:ascii="Arial" w:hAnsi="Arial" w:cs="Arial"/>
        </w:rPr>
        <w:t xml:space="preserve"> to </w:t>
      </w:r>
      <w:r w:rsidR="00445DE0">
        <w:rPr>
          <w:rFonts w:ascii="Arial" w:hAnsi="Arial" w:cs="Arial"/>
        </w:rPr>
        <w:t>set</w:t>
      </w:r>
      <w:r w:rsidR="00314494" w:rsidRPr="00314494">
        <w:rPr>
          <w:rFonts w:ascii="Arial" w:hAnsi="Arial" w:cs="Arial"/>
        </w:rPr>
        <w:t xml:space="preserve"> the standards for clinical guidelines </w:t>
      </w:r>
      <w:r w:rsidR="00022F3B">
        <w:rPr>
          <w:rFonts w:ascii="Arial" w:hAnsi="Arial" w:cs="Arial"/>
        </w:rPr>
        <w:t xml:space="preserve">and review criteria used to establish </w:t>
      </w:r>
      <w:r w:rsidR="00BB1128">
        <w:rPr>
          <w:rFonts w:ascii="Arial" w:hAnsi="Arial" w:cs="Arial"/>
        </w:rPr>
        <w:t xml:space="preserve">step therapy protocol be evidence-based and updated on a regular basis through review of new evidence, research, and newly developed treatments. </w:t>
      </w:r>
    </w:p>
    <w:p w14:paraId="7B1CFFAF" w14:textId="77777777" w:rsidR="00314494" w:rsidRPr="00314494" w:rsidRDefault="00314494" w:rsidP="00314494">
      <w:pPr>
        <w:pStyle w:val="ListParagraph"/>
        <w:tabs>
          <w:tab w:val="left" w:pos="630"/>
        </w:tabs>
        <w:spacing w:after="0" w:line="240" w:lineRule="auto"/>
        <w:ind w:left="360"/>
        <w:rPr>
          <w:rFonts w:ascii="Arial" w:hAnsi="Arial" w:cs="Arial"/>
          <w:b/>
          <w:i/>
        </w:rPr>
      </w:pPr>
    </w:p>
    <w:p w14:paraId="2289DC67" w14:textId="113D424C" w:rsidR="00314494" w:rsidRPr="00314494" w:rsidRDefault="00D54878" w:rsidP="00314494">
      <w:pPr>
        <w:pStyle w:val="ListParagraph"/>
        <w:numPr>
          <w:ilvl w:val="0"/>
          <w:numId w:val="2"/>
        </w:numPr>
        <w:tabs>
          <w:tab w:val="left" w:pos="630"/>
        </w:tabs>
        <w:spacing w:after="0" w:line="240" w:lineRule="auto"/>
        <w:ind w:left="360"/>
        <w:rPr>
          <w:rFonts w:ascii="Arial" w:hAnsi="Arial" w:cs="Arial"/>
          <w:b/>
          <w:i/>
        </w:rPr>
      </w:pPr>
      <w:r>
        <w:rPr>
          <w:rFonts w:ascii="Arial" w:hAnsi="Arial" w:cs="Arial"/>
          <w:b/>
          <w:i/>
        </w:rPr>
        <w:t>Create an exception process for step therapy protocol</w:t>
      </w:r>
      <w:r w:rsidR="00314494" w:rsidRPr="00314494">
        <w:rPr>
          <w:rFonts w:ascii="Arial" w:hAnsi="Arial" w:cs="Arial"/>
          <w:b/>
          <w:i/>
        </w:rPr>
        <w:t xml:space="preserve">, including timelines for granting or denying a submission. </w:t>
      </w:r>
    </w:p>
    <w:p w14:paraId="1DD930C4" w14:textId="77777777" w:rsidR="00314494" w:rsidRPr="00314494" w:rsidRDefault="00314494" w:rsidP="00314494">
      <w:pPr>
        <w:pStyle w:val="Normal1"/>
        <w:tabs>
          <w:tab w:val="left" w:pos="630"/>
        </w:tabs>
        <w:spacing w:after="0" w:line="240" w:lineRule="auto"/>
        <w:ind w:left="360"/>
        <w:rPr>
          <w:rFonts w:ascii="Arial" w:hAnsi="Arial" w:cs="Arial"/>
          <w:szCs w:val="22"/>
        </w:rPr>
      </w:pPr>
    </w:p>
    <w:p w14:paraId="7755F698" w14:textId="148FDA16" w:rsidR="00AE15E9" w:rsidRPr="00B02139" w:rsidRDefault="00314494" w:rsidP="00314494">
      <w:pPr>
        <w:pStyle w:val="Normal1"/>
        <w:tabs>
          <w:tab w:val="left" w:pos="630"/>
        </w:tabs>
        <w:spacing w:after="0" w:line="240" w:lineRule="auto"/>
        <w:ind w:left="360"/>
        <w:rPr>
          <w:rFonts w:ascii="Arial" w:hAnsi="Arial" w:cs="Arial"/>
          <w:szCs w:val="22"/>
        </w:rPr>
      </w:pPr>
      <w:r w:rsidRPr="00314494">
        <w:rPr>
          <w:rFonts w:ascii="Arial" w:hAnsi="Arial" w:cs="Arial"/>
          <w:szCs w:val="22"/>
        </w:rPr>
        <w:t xml:space="preserve">It is critical that patients can receive an exception to the required </w:t>
      </w:r>
      <w:r w:rsidR="00FB7432">
        <w:rPr>
          <w:rFonts w:ascii="Arial" w:hAnsi="Arial" w:cs="Arial"/>
          <w:szCs w:val="22"/>
        </w:rPr>
        <w:t>step therapy drug</w:t>
      </w:r>
      <w:r w:rsidRPr="00314494">
        <w:rPr>
          <w:rFonts w:ascii="Arial" w:hAnsi="Arial" w:cs="Arial"/>
          <w:szCs w:val="22"/>
        </w:rPr>
        <w:t xml:space="preserve"> when the plan-directed medication is inappropriate. Too often, </w:t>
      </w:r>
      <w:r w:rsidR="00FB7432">
        <w:rPr>
          <w:rFonts w:ascii="Arial" w:hAnsi="Arial" w:cs="Arial"/>
          <w:szCs w:val="22"/>
        </w:rPr>
        <w:t xml:space="preserve">step therapy </w:t>
      </w:r>
      <w:r w:rsidRPr="00314494">
        <w:rPr>
          <w:rFonts w:ascii="Arial" w:hAnsi="Arial" w:cs="Arial"/>
          <w:szCs w:val="22"/>
        </w:rPr>
        <w:t>create</w:t>
      </w:r>
      <w:r w:rsidR="00FB7432">
        <w:rPr>
          <w:rFonts w:ascii="Arial" w:hAnsi="Arial" w:cs="Arial"/>
          <w:szCs w:val="22"/>
        </w:rPr>
        <w:t>s</w:t>
      </w:r>
      <w:r w:rsidRPr="00314494">
        <w:rPr>
          <w:rFonts w:ascii="Arial" w:hAnsi="Arial" w:cs="Arial"/>
          <w:szCs w:val="22"/>
        </w:rPr>
        <w:t xml:space="preserve"> a one-size-fits-all approach to treatment that runs counter to the growing movement for patient-centered care. </w:t>
      </w:r>
      <w:r w:rsidR="005E780B">
        <w:rPr>
          <w:rFonts w:ascii="Arial" w:hAnsi="Arial" w:cs="Arial"/>
          <w:szCs w:val="22"/>
        </w:rPr>
        <w:t>A</w:t>
      </w:r>
      <w:r w:rsidR="00254772" w:rsidRPr="00314494">
        <w:rPr>
          <w:rFonts w:ascii="Arial" w:hAnsi="Arial" w:cs="Arial"/>
          <w:szCs w:val="22"/>
        </w:rPr>
        <w:t xml:space="preserve"> study found that adherence to medication declined due to formulary restrictions</w:t>
      </w:r>
      <w:r w:rsidR="00320279" w:rsidRPr="00320279">
        <w:rPr>
          <w:rStyle w:val="FootnoteReference"/>
          <w:rFonts w:ascii="Arial" w:hAnsi="Arial" w:cs="Arial"/>
          <w:szCs w:val="22"/>
        </w:rPr>
        <w:t xml:space="preserve"> </w:t>
      </w:r>
      <w:r w:rsidR="00320279" w:rsidRPr="00314494">
        <w:rPr>
          <w:rStyle w:val="FootnoteReference"/>
          <w:rFonts w:ascii="Arial" w:hAnsi="Arial" w:cs="Arial"/>
          <w:szCs w:val="22"/>
        </w:rPr>
        <w:footnoteReference w:id="4"/>
      </w:r>
      <w:r w:rsidR="00320279">
        <w:rPr>
          <w:rFonts w:ascii="Arial" w:hAnsi="Arial" w:cs="Arial"/>
          <w:szCs w:val="22"/>
        </w:rPr>
        <w:t>.</w:t>
      </w:r>
      <w:r w:rsidR="009A07BE">
        <w:rPr>
          <w:rFonts w:ascii="Arial" w:hAnsi="Arial" w:cs="Arial"/>
          <w:szCs w:val="22"/>
        </w:rPr>
        <w:t xml:space="preserve"> We encourage the legislature to include </w:t>
      </w:r>
      <w:r w:rsidR="005F7975">
        <w:rPr>
          <w:rFonts w:ascii="Arial" w:hAnsi="Arial" w:cs="Arial"/>
          <w:szCs w:val="22"/>
        </w:rPr>
        <w:t xml:space="preserve">five criteria for carriers to grant an exception to step </w:t>
      </w:r>
      <w:r w:rsidR="005F7975" w:rsidRPr="00B02139">
        <w:rPr>
          <w:rFonts w:ascii="Arial" w:hAnsi="Arial" w:cs="Arial"/>
          <w:szCs w:val="22"/>
        </w:rPr>
        <w:t xml:space="preserve">therapy protocol </w:t>
      </w:r>
      <w:r w:rsidR="008B3FB1" w:rsidRPr="00B02139">
        <w:rPr>
          <w:rFonts w:ascii="Arial" w:hAnsi="Arial" w:cs="Arial"/>
          <w:szCs w:val="22"/>
        </w:rPr>
        <w:t>if the required prescription drug is</w:t>
      </w:r>
      <w:r w:rsidR="005F7975" w:rsidRPr="00B02139">
        <w:rPr>
          <w:rFonts w:ascii="Arial" w:hAnsi="Arial" w:cs="Arial"/>
          <w:szCs w:val="22"/>
        </w:rPr>
        <w:t xml:space="preserve">: </w:t>
      </w:r>
    </w:p>
    <w:p w14:paraId="5DA3D009" w14:textId="181DE30E" w:rsidR="009E2CC3" w:rsidRPr="00B02139" w:rsidRDefault="009E2CC3" w:rsidP="009E2CC3">
      <w:pPr>
        <w:pStyle w:val="Normal1"/>
        <w:numPr>
          <w:ilvl w:val="0"/>
          <w:numId w:val="4"/>
        </w:numPr>
        <w:tabs>
          <w:tab w:val="left" w:pos="630"/>
        </w:tabs>
        <w:spacing w:after="0" w:line="240" w:lineRule="auto"/>
        <w:rPr>
          <w:rFonts w:ascii="Arial" w:hAnsi="Arial" w:cs="Arial"/>
          <w:szCs w:val="22"/>
        </w:rPr>
      </w:pPr>
      <w:r w:rsidRPr="00B02139">
        <w:rPr>
          <w:rFonts w:ascii="Arial" w:eastAsia="Times New Roman" w:hAnsi="Arial" w:cs="Arial"/>
        </w:rPr>
        <w:t xml:space="preserve">contraindicated or will likely cause an adverse reaction or physical or mental harm to the patient. </w:t>
      </w:r>
    </w:p>
    <w:p w14:paraId="0EFF4A28" w14:textId="77777777" w:rsidR="009E2CC3" w:rsidRPr="00B02139" w:rsidRDefault="009E2CC3" w:rsidP="009E2CC3">
      <w:pPr>
        <w:pStyle w:val="Normal1"/>
        <w:numPr>
          <w:ilvl w:val="0"/>
          <w:numId w:val="4"/>
        </w:numPr>
        <w:tabs>
          <w:tab w:val="left" w:pos="630"/>
        </w:tabs>
        <w:spacing w:after="0" w:line="240" w:lineRule="auto"/>
        <w:rPr>
          <w:rFonts w:ascii="Arial" w:hAnsi="Arial" w:cs="Arial"/>
          <w:szCs w:val="22"/>
        </w:rPr>
      </w:pPr>
      <w:r w:rsidRPr="00B02139">
        <w:rPr>
          <w:rFonts w:ascii="Arial" w:eastAsia="Times New Roman" w:hAnsi="Arial" w:cs="Arial"/>
        </w:rPr>
        <w:t xml:space="preserve">Expected to be ineffective based on the known clinical characteristics of the patient and the known characteristics of the prescription drug regimen. </w:t>
      </w:r>
    </w:p>
    <w:p w14:paraId="698AD510" w14:textId="77777777" w:rsidR="009E2CC3" w:rsidRPr="00B02139" w:rsidRDefault="009E2CC3" w:rsidP="009E2CC3">
      <w:pPr>
        <w:pStyle w:val="Normal1"/>
        <w:numPr>
          <w:ilvl w:val="0"/>
          <w:numId w:val="4"/>
        </w:numPr>
        <w:tabs>
          <w:tab w:val="left" w:pos="630"/>
        </w:tabs>
        <w:spacing w:after="0" w:line="240" w:lineRule="auto"/>
        <w:rPr>
          <w:rFonts w:ascii="Arial" w:hAnsi="Arial" w:cs="Arial"/>
          <w:szCs w:val="22"/>
        </w:rPr>
      </w:pPr>
      <w:r w:rsidRPr="00B02139">
        <w:rPr>
          <w:rFonts w:ascii="Arial" w:eastAsia="Times New Roman" w:hAnsi="Arial" w:cs="Arial"/>
        </w:rPr>
        <w:t xml:space="preserve">The patient has tried the required prescription drug, or another prescription drug in the same pharmacologic class, while covered by their current or previous health insurer, and that prescription drug was discontinued due to lack of efficacy or effectiveness, diminished effect, or an adverse event. </w:t>
      </w:r>
    </w:p>
    <w:p w14:paraId="5B288789" w14:textId="77777777" w:rsidR="009E2CC3" w:rsidRPr="00B02139" w:rsidRDefault="009E2CC3" w:rsidP="009E2CC3">
      <w:pPr>
        <w:pStyle w:val="Normal1"/>
        <w:numPr>
          <w:ilvl w:val="0"/>
          <w:numId w:val="4"/>
        </w:numPr>
        <w:tabs>
          <w:tab w:val="left" w:pos="630"/>
        </w:tabs>
        <w:spacing w:after="0" w:line="240" w:lineRule="auto"/>
        <w:rPr>
          <w:rFonts w:ascii="Arial" w:hAnsi="Arial" w:cs="Arial"/>
          <w:szCs w:val="22"/>
        </w:rPr>
      </w:pPr>
      <w:r w:rsidRPr="00B02139">
        <w:rPr>
          <w:rFonts w:ascii="Arial" w:eastAsia="Times New Roman" w:hAnsi="Arial" w:cs="Arial"/>
        </w:rPr>
        <w:t xml:space="preserve">Not in the best interest of the patient based on medical necessity. </w:t>
      </w:r>
    </w:p>
    <w:p w14:paraId="30307E69" w14:textId="32D319B9" w:rsidR="00314494" w:rsidRPr="00A12EE6" w:rsidRDefault="009E2CC3" w:rsidP="00B02139">
      <w:pPr>
        <w:pStyle w:val="Normal1"/>
        <w:numPr>
          <w:ilvl w:val="0"/>
          <w:numId w:val="4"/>
        </w:numPr>
        <w:tabs>
          <w:tab w:val="left" w:pos="630"/>
        </w:tabs>
        <w:spacing w:after="0" w:line="240" w:lineRule="auto"/>
        <w:rPr>
          <w:rFonts w:ascii="Arial" w:hAnsi="Arial" w:cs="Arial"/>
          <w:szCs w:val="22"/>
        </w:rPr>
      </w:pPr>
      <w:r w:rsidRPr="00B02139">
        <w:rPr>
          <w:rFonts w:ascii="Arial" w:eastAsia="Times New Roman" w:hAnsi="Arial" w:cs="Arial"/>
        </w:rPr>
        <w:t>The patient is stable on a prescription drug selected by their health care provider for the medical condition under consideration while covered by their current or previous health insurer.</w:t>
      </w:r>
    </w:p>
    <w:p w14:paraId="4F6E4641" w14:textId="77777777" w:rsidR="00314494" w:rsidRPr="00314494" w:rsidRDefault="00314494" w:rsidP="00314494">
      <w:pPr>
        <w:pStyle w:val="Normal1"/>
        <w:tabs>
          <w:tab w:val="left" w:pos="630"/>
        </w:tabs>
        <w:spacing w:after="0" w:line="240" w:lineRule="auto"/>
        <w:ind w:left="360"/>
        <w:rPr>
          <w:rFonts w:ascii="Arial" w:hAnsi="Arial" w:cs="Arial"/>
          <w:szCs w:val="22"/>
        </w:rPr>
      </w:pPr>
    </w:p>
    <w:p w14:paraId="7F730CB7" w14:textId="67EE4B14" w:rsidR="00314494" w:rsidRDefault="00314494" w:rsidP="00E8181E">
      <w:pPr>
        <w:pStyle w:val="Normal1"/>
        <w:tabs>
          <w:tab w:val="left" w:pos="630"/>
        </w:tabs>
        <w:spacing w:after="0" w:line="240" w:lineRule="auto"/>
        <w:ind w:left="360"/>
        <w:rPr>
          <w:rFonts w:ascii="Arial" w:hAnsi="Arial" w:cs="Arial"/>
        </w:rPr>
      </w:pPr>
      <w:r w:rsidRPr="00314494">
        <w:rPr>
          <w:rFonts w:ascii="Arial" w:hAnsi="Arial" w:cs="Arial"/>
          <w:szCs w:val="22"/>
        </w:rPr>
        <w:t>Delays in treatment can have devastating health implications that are avoidable when patients and providers receive timely responses to their exception requests. These delays can also create unnecessary costs to the system when individuals need to seek additional medical care to properly manage their condition. One analysis looked at the impact of step therapy on anti-depressants and total Medicaid costs, drug costs and drug utilization. The study found that total Medicaid costs increased by $0.32 per member per month (PMPM) while drug costs decreased by $0.26 PMPM (an overall increased spend of $.06 PMPM). The same study also found that due to step therapy requirements, more patients switched medications within 6 months and fewer patients received continuous therapy at 6 months.</w:t>
      </w:r>
      <w:r w:rsidRPr="00314494">
        <w:rPr>
          <w:rStyle w:val="FootnoteReference"/>
          <w:rFonts w:ascii="Arial" w:hAnsi="Arial" w:cs="Arial"/>
          <w:szCs w:val="22"/>
        </w:rPr>
        <w:footnoteReference w:id="5"/>
      </w:r>
      <w:r w:rsidRPr="00314494">
        <w:rPr>
          <w:rFonts w:ascii="Arial" w:hAnsi="Arial" w:cs="Arial"/>
          <w:szCs w:val="22"/>
          <w:vertAlign w:val="superscript"/>
        </w:rPr>
        <w:t>,</w:t>
      </w:r>
      <w:r w:rsidRPr="00314494">
        <w:rPr>
          <w:rStyle w:val="FootnoteReference"/>
          <w:rFonts w:ascii="Arial" w:hAnsi="Arial" w:cs="Arial"/>
          <w:szCs w:val="22"/>
        </w:rPr>
        <w:footnoteReference w:id="6"/>
      </w:r>
      <w:r w:rsidR="00E8181E">
        <w:rPr>
          <w:rFonts w:ascii="Arial" w:hAnsi="Arial" w:cs="Arial"/>
          <w:szCs w:val="22"/>
        </w:rPr>
        <w:t xml:space="preserve"> </w:t>
      </w:r>
      <w:r w:rsidR="00A12EE6">
        <w:rPr>
          <w:rFonts w:ascii="Arial" w:hAnsi="Arial" w:cs="Arial"/>
          <w:szCs w:val="22"/>
        </w:rPr>
        <w:t>Similarly this study found that t</w:t>
      </w:r>
      <w:r w:rsidR="00A12EE6" w:rsidRPr="00314494">
        <w:rPr>
          <w:rFonts w:ascii="Arial" w:hAnsi="Arial" w:cs="Arial"/>
          <w:szCs w:val="22"/>
        </w:rPr>
        <w:t xml:space="preserve">otal costs increased with formulary restrictions due to increased inpatient and medical costs as well as increased pharmacy costs for bipolar disorder. </w:t>
      </w:r>
      <w:r w:rsidR="00A12EE6" w:rsidRPr="00314494">
        <w:rPr>
          <w:rStyle w:val="FootnoteReference"/>
          <w:rFonts w:ascii="Arial" w:hAnsi="Arial" w:cs="Arial"/>
          <w:szCs w:val="22"/>
        </w:rPr>
        <w:footnoteReference w:id="7"/>
      </w:r>
      <w:r w:rsidR="00A12EE6">
        <w:rPr>
          <w:rFonts w:ascii="Arial" w:hAnsi="Arial" w:cs="Arial"/>
          <w:szCs w:val="22"/>
        </w:rPr>
        <w:t xml:space="preserve"> This is why we believe c</w:t>
      </w:r>
      <w:r w:rsidR="00A12EE6" w:rsidRPr="00B972D2">
        <w:rPr>
          <w:rFonts w:ascii="Arial" w:hAnsi="Arial" w:cs="Arial"/>
          <w:szCs w:val="22"/>
        </w:rPr>
        <w:t xml:space="preserve">arriers must disclose all rules and criteria related to the </w:t>
      </w:r>
      <w:r w:rsidR="00A12EE6">
        <w:rPr>
          <w:rFonts w:ascii="Arial" w:hAnsi="Arial" w:cs="Arial"/>
          <w:szCs w:val="22"/>
        </w:rPr>
        <w:t>step therapy</w:t>
      </w:r>
      <w:r w:rsidR="00A12EE6" w:rsidRPr="00B972D2">
        <w:rPr>
          <w:rFonts w:ascii="Arial" w:hAnsi="Arial" w:cs="Arial"/>
          <w:szCs w:val="22"/>
        </w:rPr>
        <w:t xml:space="preserve"> process to all participating providers, including the information and documentation that must be submitted by a health care provider or patient for an exemption request to be considered complete.</w:t>
      </w:r>
      <w:r w:rsidR="00A12EE6">
        <w:rPr>
          <w:rFonts w:ascii="Arial" w:hAnsi="Arial" w:cs="Arial"/>
          <w:szCs w:val="22"/>
        </w:rPr>
        <w:t xml:space="preserve"> With the disclosure of the process </w:t>
      </w:r>
      <w:r w:rsidR="00A12EE6">
        <w:rPr>
          <w:rFonts w:ascii="Arial" w:hAnsi="Arial" w:cs="Arial"/>
        </w:rPr>
        <w:t>w</w:t>
      </w:r>
      <w:r w:rsidRPr="00314494">
        <w:rPr>
          <w:rFonts w:ascii="Arial" w:hAnsi="Arial" w:cs="Arial"/>
        </w:rPr>
        <w:t>e encourage the</w:t>
      </w:r>
      <w:r w:rsidR="00877E79">
        <w:rPr>
          <w:rFonts w:ascii="Arial" w:hAnsi="Arial" w:cs="Arial"/>
        </w:rPr>
        <w:t xml:space="preserve"> legislature </w:t>
      </w:r>
      <w:r w:rsidRPr="00314494">
        <w:rPr>
          <w:rFonts w:ascii="Arial" w:hAnsi="Arial" w:cs="Arial"/>
        </w:rPr>
        <w:t xml:space="preserve">to require </w:t>
      </w:r>
      <w:r w:rsidR="00877E79">
        <w:rPr>
          <w:rFonts w:ascii="Arial" w:hAnsi="Arial" w:cs="Arial"/>
        </w:rPr>
        <w:t>carriers</w:t>
      </w:r>
      <w:r w:rsidRPr="00314494">
        <w:rPr>
          <w:rFonts w:ascii="Arial" w:hAnsi="Arial" w:cs="Arial"/>
        </w:rPr>
        <w:t xml:space="preserve"> meet the process response timelines of 72 hours or 24 hours in </w:t>
      </w:r>
      <w:r w:rsidR="00877E79">
        <w:rPr>
          <w:rFonts w:ascii="Arial" w:hAnsi="Arial" w:cs="Arial"/>
        </w:rPr>
        <w:t xml:space="preserve">emergency </w:t>
      </w:r>
      <w:r w:rsidRPr="00314494">
        <w:rPr>
          <w:rFonts w:ascii="Arial" w:hAnsi="Arial" w:cs="Arial"/>
        </w:rPr>
        <w:t>circumstances</w:t>
      </w:r>
      <w:r w:rsidR="00834012">
        <w:rPr>
          <w:rFonts w:ascii="Arial" w:hAnsi="Arial" w:cs="Arial"/>
        </w:rPr>
        <w:t>.</w:t>
      </w:r>
    </w:p>
    <w:p w14:paraId="483E5706" w14:textId="77777777" w:rsidR="00834012" w:rsidRPr="00E8181E" w:rsidRDefault="00834012" w:rsidP="00E8181E">
      <w:pPr>
        <w:pStyle w:val="Normal1"/>
        <w:tabs>
          <w:tab w:val="left" w:pos="630"/>
        </w:tabs>
        <w:spacing w:after="0" w:line="240" w:lineRule="auto"/>
        <w:ind w:left="360"/>
        <w:rPr>
          <w:rFonts w:ascii="Arial" w:hAnsi="Arial" w:cs="Arial"/>
          <w:szCs w:val="22"/>
        </w:rPr>
      </w:pPr>
    </w:p>
    <w:p w14:paraId="04860C6F" w14:textId="4A6CE542" w:rsidR="005D3C65" w:rsidRDefault="00F84EE1" w:rsidP="00226662">
      <w:pPr>
        <w:rPr>
          <w:rFonts w:ascii="Arial" w:hAnsi="Arial" w:cs="Arial"/>
        </w:rPr>
      </w:pPr>
      <w:r w:rsidRPr="00CB20DA">
        <w:rPr>
          <w:rFonts w:ascii="Arial" w:hAnsi="Arial" w:cs="Arial"/>
        </w:rPr>
        <w:t xml:space="preserve">Without proper treatment, patients with chronic conditions like psoriatic disease may </w:t>
      </w:r>
      <w:r w:rsidR="006B3609" w:rsidRPr="00CB20DA">
        <w:rPr>
          <w:rFonts w:ascii="Arial" w:hAnsi="Arial" w:cs="Arial"/>
        </w:rPr>
        <w:t>experience otherwise preventable health events, resulting in more doctor visits or hospitalization</w:t>
      </w:r>
      <w:r w:rsidRPr="00CB20DA">
        <w:rPr>
          <w:rFonts w:ascii="Arial" w:hAnsi="Arial" w:cs="Arial"/>
        </w:rPr>
        <w:t xml:space="preserve">. </w:t>
      </w:r>
      <w:r w:rsidR="009C26A9">
        <w:rPr>
          <w:rFonts w:ascii="Arial" w:hAnsi="Arial" w:cs="Arial"/>
        </w:rPr>
        <w:t>C</w:t>
      </w:r>
      <w:r w:rsidR="004E1D8D">
        <w:rPr>
          <w:rFonts w:ascii="Arial" w:hAnsi="Arial" w:cs="Arial"/>
        </w:rPr>
        <w:t xml:space="preserve">ommon sense guardrails </w:t>
      </w:r>
      <w:r w:rsidR="009C26A9">
        <w:rPr>
          <w:rFonts w:ascii="Arial" w:hAnsi="Arial" w:cs="Arial"/>
        </w:rPr>
        <w:t xml:space="preserve">on step therapy protocol are needed </w:t>
      </w:r>
      <w:r w:rsidR="00FA7062">
        <w:rPr>
          <w:rFonts w:ascii="Arial" w:hAnsi="Arial" w:cs="Arial"/>
        </w:rPr>
        <w:t xml:space="preserve">to ensure patients </w:t>
      </w:r>
      <w:r w:rsidR="00572D56">
        <w:rPr>
          <w:rFonts w:ascii="Arial" w:hAnsi="Arial" w:cs="Arial"/>
        </w:rPr>
        <w:t xml:space="preserve">have access to the best treatment options. </w:t>
      </w:r>
      <w:r w:rsidR="009A779F">
        <w:rPr>
          <w:rFonts w:ascii="Arial" w:hAnsi="Arial" w:cs="Arial"/>
        </w:rPr>
        <w:t>Our sol</w:t>
      </w:r>
      <w:r w:rsidR="00751A7C">
        <w:rPr>
          <w:rFonts w:ascii="Arial" w:hAnsi="Arial" w:cs="Arial"/>
        </w:rPr>
        <w:t xml:space="preserve">utions seek to balance patient’s health and well-being with appropriate use of tools to manage healthcare costs. </w:t>
      </w:r>
      <w:r w:rsidR="00572D56">
        <w:rPr>
          <w:rFonts w:ascii="Arial" w:hAnsi="Arial" w:cs="Arial"/>
        </w:rPr>
        <w:t xml:space="preserve">We welcome the opportunity </w:t>
      </w:r>
      <w:r w:rsidR="00AF1C16">
        <w:rPr>
          <w:rFonts w:ascii="Arial" w:hAnsi="Arial" w:cs="Arial"/>
        </w:rPr>
        <w:t xml:space="preserve">to further discuss these solutions. </w:t>
      </w:r>
    </w:p>
    <w:p w14:paraId="22E70765" w14:textId="5665F79A" w:rsidR="00F25A31" w:rsidRPr="00CB20DA" w:rsidRDefault="00821547" w:rsidP="00753009">
      <w:pPr>
        <w:spacing w:after="0" w:line="240" w:lineRule="auto"/>
        <w:rPr>
          <w:rFonts w:ascii="Arial" w:hAnsi="Arial" w:cs="Arial"/>
        </w:rPr>
      </w:pPr>
      <w:r w:rsidRPr="00CB20DA">
        <w:rPr>
          <w:rFonts w:ascii="Arial" w:hAnsi="Arial" w:cs="Arial"/>
        </w:rPr>
        <w:t xml:space="preserve">Thank you for your time and consideration. </w:t>
      </w:r>
      <w:r w:rsidR="004F3899" w:rsidRPr="00CB20DA">
        <w:rPr>
          <w:rFonts w:ascii="Arial" w:hAnsi="Arial" w:cs="Arial"/>
        </w:rPr>
        <w:t xml:space="preserve">If you have any </w:t>
      </w:r>
      <w:r w:rsidR="00147D2F" w:rsidRPr="00CB20DA">
        <w:rPr>
          <w:rFonts w:ascii="Arial" w:hAnsi="Arial" w:cs="Arial"/>
        </w:rPr>
        <w:t>questions,</w:t>
      </w:r>
      <w:r w:rsidR="004F3899" w:rsidRPr="00CB20DA">
        <w:rPr>
          <w:rFonts w:ascii="Arial" w:hAnsi="Arial" w:cs="Arial"/>
        </w:rPr>
        <w:t xml:space="preserve"> please reach out at </w:t>
      </w:r>
      <w:hyperlink r:id="rId12" w:history="1">
        <w:r w:rsidR="004F3899" w:rsidRPr="00CB20DA">
          <w:rPr>
            <w:rStyle w:val="Hyperlink"/>
            <w:rFonts w:ascii="Arial" w:hAnsi="Arial" w:cs="Arial"/>
          </w:rPr>
          <w:t>bduffy-goche@psoriasis.org</w:t>
        </w:r>
      </w:hyperlink>
      <w:r w:rsidR="004F3899" w:rsidRPr="00CB20DA">
        <w:rPr>
          <w:rFonts w:ascii="Arial" w:hAnsi="Arial" w:cs="Arial"/>
        </w:rPr>
        <w:t xml:space="preserve">. </w:t>
      </w:r>
    </w:p>
    <w:p w14:paraId="14136943" w14:textId="77777777" w:rsidR="00F25A31" w:rsidRPr="00CB20DA" w:rsidRDefault="00F25A31" w:rsidP="00DC4284">
      <w:pPr>
        <w:spacing w:after="0"/>
        <w:rPr>
          <w:rFonts w:ascii="Arial" w:hAnsi="Arial" w:cs="Arial"/>
        </w:rPr>
      </w:pPr>
    </w:p>
    <w:p w14:paraId="3FEDB149" w14:textId="0C053EE4" w:rsidR="001B1037" w:rsidRPr="0032578C" w:rsidRDefault="00C50893" w:rsidP="00DC4284">
      <w:pPr>
        <w:spacing w:after="0" w:line="240" w:lineRule="auto"/>
        <w:ind w:hanging="10"/>
        <w:rPr>
          <w:rFonts w:ascii="Arial" w:eastAsia="Times New Roman" w:hAnsi="Arial" w:cs="Arial"/>
          <w:color w:val="000000"/>
        </w:rPr>
      </w:pPr>
      <w:r w:rsidRPr="0032578C">
        <w:rPr>
          <w:rFonts w:ascii="Arial" w:hAnsi="Arial" w:cs="Arial"/>
        </w:rPr>
        <w:t xml:space="preserve"> </w:t>
      </w:r>
      <w:r w:rsidR="001B1037" w:rsidRPr="0032578C">
        <w:rPr>
          <w:rFonts w:ascii="Arial" w:eastAsia="Times New Roman" w:hAnsi="Arial" w:cs="Arial"/>
          <w:color w:val="000000"/>
        </w:rPr>
        <w:t>Sincerely,</w:t>
      </w:r>
    </w:p>
    <w:p w14:paraId="404A7157" w14:textId="77777777" w:rsidR="00577415" w:rsidRPr="0032578C" w:rsidRDefault="00577415" w:rsidP="00DC4284">
      <w:pPr>
        <w:spacing w:after="0" w:line="240" w:lineRule="auto"/>
        <w:ind w:hanging="10"/>
        <w:rPr>
          <w:rFonts w:ascii="Arial" w:eastAsia="Times New Roman" w:hAnsi="Arial" w:cs="Arial"/>
          <w:color w:val="000000"/>
        </w:rPr>
      </w:pPr>
    </w:p>
    <w:p w14:paraId="30417AEF" w14:textId="4826A468" w:rsidR="00271C6A" w:rsidRPr="0032578C" w:rsidRDefault="00577415" w:rsidP="00DC4284">
      <w:pPr>
        <w:spacing w:after="0" w:line="240" w:lineRule="auto"/>
        <w:rPr>
          <w:rFonts w:ascii="Arial" w:eastAsia="Times New Roman" w:hAnsi="Arial" w:cs="Arial"/>
          <w:color w:val="000000"/>
        </w:rPr>
      </w:pPr>
      <w:r w:rsidRPr="0032578C">
        <w:rPr>
          <w:rFonts w:ascii="Arial" w:eastAsia="Times New Roman" w:hAnsi="Arial" w:cs="Arial"/>
          <w:noProof/>
          <w:color w:val="000000"/>
        </w:rPr>
        <w:drawing>
          <wp:inline distT="0" distB="0" distL="0" distR="0" wp14:anchorId="4A0B4A4D" wp14:editId="7888E3FA">
            <wp:extent cx="1333345" cy="528637"/>
            <wp:effectExtent l="0" t="0" r="635" b="508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0098" cy="535279"/>
                    </a:xfrm>
                    <a:prstGeom prst="rect">
                      <a:avLst/>
                    </a:prstGeom>
                  </pic:spPr>
                </pic:pic>
              </a:graphicData>
            </a:graphic>
          </wp:inline>
        </w:drawing>
      </w:r>
    </w:p>
    <w:p w14:paraId="2A9AD634" w14:textId="7195730B" w:rsidR="00EB368F" w:rsidRPr="0032578C" w:rsidRDefault="00577415" w:rsidP="001E669A">
      <w:pPr>
        <w:spacing w:after="0" w:line="240" w:lineRule="auto"/>
        <w:ind w:hanging="10"/>
        <w:rPr>
          <w:rFonts w:ascii="Arial" w:eastAsia="Times New Roman" w:hAnsi="Arial" w:cs="Arial"/>
          <w:color w:val="000000"/>
        </w:rPr>
      </w:pPr>
      <w:r w:rsidRPr="0032578C">
        <w:rPr>
          <w:rFonts w:ascii="Arial" w:eastAsia="Times New Roman" w:hAnsi="Arial" w:cs="Arial"/>
          <w:color w:val="000000"/>
        </w:rPr>
        <w:t>Brittany Duffy-Goche</w:t>
      </w:r>
    </w:p>
    <w:p w14:paraId="0D6B6CAD" w14:textId="574D9550" w:rsidR="00577415" w:rsidRPr="0032578C" w:rsidRDefault="00577415" w:rsidP="001E669A">
      <w:pPr>
        <w:spacing w:after="0" w:line="240" w:lineRule="auto"/>
        <w:ind w:hanging="10"/>
        <w:rPr>
          <w:rFonts w:ascii="Arial" w:eastAsia="Times New Roman" w:hAnsi="Arial" w:cs="Arial"/>
          <w:color w:val="000000"/>
        </w:rPr>
      </w:pPr>
      <w:r w:rsidRPr="0032578C">
        <w:rPr>
          <w:rFonts w:ascii="Arial" w:eastAsia="Times New Roman" w:hAnsi="Arial" w:cs="Arial"/>
          <w:color w:val="000000"/>
        </w:rPr>
        <w:t>State Government Relations Manager</w:t>
      </w:r>
    </w:p>
    <w:sectPr w:rsidR="00577415" w:rsidRPr="0032578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D305" w14:textId="77777777" w:rsidR="00F43E97" w:rsidRDefault="00F43E97" w:rsidP="00F231CE">
      <w:pPr>
        <w:spacing w:after="0" w:line="240" w:lineRule="auto"/>
      </w:pPr>
      <w:r>
        <w:separator/>
      </w:r>
    </w:p>
  </w:endnote>
  <w:endnote w:type="continuationSeparator" w:id="0">
    <w:p w14:paraId="3BCE78D4" w14:textId="77777777" w:rsidR="00F43E97" w:rsidRDefault="00F43E97" w:rsidP="00F2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Bold">
    <w:altName w:val="Corbel"/>
    <w:panose1 w:val="00000000000000000000"/>
    <w:charset w:val="00"/>
    <w:family w:val="modern"/>
    <w:notTrueType/>
    <w:pitch w:val="variable"/>
    <w:sig w:usb0="00000003" w:usb1="4000206A" w:usb2="00000000" w:usb3="00000000" w:csb0="00000001" w:csb1="00000000"/>
  </w:font>
  <w:font w:name="DINOT-Medium">
    <w:altName w:val="Corbel"/>
    <w:panose1 w:val="00000000000000000000"/>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DINOT-Light">
    <w:altName w:val="Calibri"/>
    <w:panose1 w:val="00000000000000000000"/>
    <w:charset w:val="00"/>
    <w:family w:val="modern"/>
    <w:notTrueType/>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B2FB" w14:textId="532EB5FA" w:rsidR="000365DF" w:rsidRPr="00DF4721" w:rsidRDefault="000365DF" w:rsidP="000365DF">
    <w:pPr>
      <w:pStyle w:val="Heading1"/>
      <w:spacing w:before="0" w:line="240" w:lineRule="auto"/>
      <w:jc w:val="center"/>
      <w:rPr>
        <w:rFonts w:ascii="DINOT-Light" w:hAnsi="DINOT-Light" w:cs="Arial"/>
        <w:color w:val="FF8200"/>
        <w:sz w:val="18"/>
        <w:szCs w:val="18"/>
      </w:rPr>
    </w:pPr>
    <w:r w:rsidRPr="00DF4721">
      <w:rPr>
        <w:rFonts w:ascii="DINOT-Light" w:hAnsi="DINOT-Light" w:cs="Arial"/>
        <w:color w:val="FF8200"/>
        <w:sz w:val="18"/>
        <w:szCs w:val="18"/>
      </w:rPr>
      <w:t>6600 SW 92nd Ave., Suite 300 | Portland, OR 97223-7195 | 800-723-9166 | Fax 503-245-0626</w:t>
    </w:r>
  </w:p>
  <w:p w14:paraId="69231961" w14:textId="77777777" w:rsidR="000365DF" w:rsidRPr="00DF4721" w:rsidRDefault="000365DF" w:rsidP="000365DF">
    <w:pPr>
      <w:spacing w:after="0" w:line="240" w:lineRule="auto"/>
      <w:jc w:val="center"/>
      <w:rPr>
        <w:rFonts w:ascii="DINOT-Light" w:hAnsi="DINOT-Light" w:cs="Arial"/>
        <w:color w:val="FF8200"/>
        <w:sz w:val="18"/>
        <w:szCs w:val="18"/>
      </w:rPr>
    </w:pPr>
    <w:r w:rsidRPr="00DF4721">
      <w:rPr>
        <w:rFonts w:ascii="DINOT-Light" w:hAnsi="DINOT-Light" w:cs="Arial"/>
        <w:color w:val="FF8200"/>
        <w:sz w:val="18"/>
        <w:szCs w:val="18"/>
      </w:rPr>
      <w:t>1800 Diagonal Rd., Suite 360 | Alexandria, VA 22314 | Fax 703-739-9800</w:t>
    </w:r>
  </w:p>
  <w:p w14:paraId="47FECB03" w14:textId="531E06E7" w:rsidR="000365DF" w:rsidRPr="00DF4721" w:rsidRDefault="006B1675" w:rsidP="000365DF">
    <w:pPr>
      <w:spacing w:after="0" w:line="240" w:lineRule="auto"/>
      <w:jc w:val="center"/>
      <w:rPr>
        <w:rFonts w:cs="Arial"/>
        <w:b/>
        <w:color w:val="FF8200"/>
        <w:sz w:val="18"/>
        <w:szCs w:val="18"/>
      </w:rPr>
    </w:pPr>
    <w:hyperlink r:id="rId1">
      <w:r w:rsidR="000365DF" w:rsidRPr="00DF4721">
        <w:rPr>
          <w:rFonts w:cs="Arial"/>
          <w:b/>
          <w:color w:val="FF8200"/>
          <w:sz w:val="18"/>
          <w:szCs w:val="18"/>
        </w:rPr>
        <w:t>www.psoriasis.org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72ACB" w14:textId="77777777" w:rsidR="00F43E97" w:rsidRDefault="00F43E97" w:rsidP="00F231CE">
      <w:pPr>
        <w:spacing w:after="0" w:line="240" w:lineRule="auto"/>
      </w:pPr>
      <w:r>
        <w:separator/>
      </w:r>
    </w:p>
  </w:footnote>
  <w:footnote w:type="continuationSeparator" w:id="0">
    <w:p w14:paraId="45E51F5F" w14:textId="77777777" w:rsidR="00F43E97" w:rsidRDefault="00F43E97" w:rsidP="00F231CE">
      <w:pPr>
        <w:spacing w:after="0" w:line="240" w:lineRule="auto"/>
      </w:pPr>
      <w:r>
        <w:continuationSeparator/>
      </w:r>
    </w:p>
  </w:footnote>
  <w:footnote w:id="1">
    <w:p w14:paraId="7BBBD26C" w14:textId="77777777" w:rsidR="00314494" w:rsidRPr="008F5A96" w:rsidRDefault="00314494" w:rsidP="00314494">
      <w:pPr>
        <w:pStyle w:val="FootnoteText"/>
        <w:rPr>
          <w:rFonts w:ascii="Arial" w:hAnsi="Arial" w:cs="Arial"/>
          <w:sz w:val="18"/>
          <w:szCs w:val="18"/>
        </w:rPr>
      </w:pPr>
      <w:r w:rsidRPr="008F5A96">
        <w:rPr>
          <w:rStyle w:val="FootnoteReference"/>
          <w:rFonts w:ascii="Arial" w:hAnsi="Arial" w:cs="Arial"/>
          <w:sz w:val="18"/>
          <w:szCs w:val="18"/>
        </w:rPr>
        <w:footnoteRef/>
      </w:r>
      <w:r w:rsidRPr="008F5A96">
        <w:rPr>
          <w:rFonts w:ascii="Arial" w:hAnsi="Arial" w:cs="Arial"/>
          <w:sz w:val="18"/>
          <w:szCs w:val="18"/>
        </w:rPr>
        <w:t xml:space="preserve"> Delate, T., et al., Clinical and financial outcomes associated with a proton pump inhibitor prior-authorization program in a Medicaid population. Am J Manag Care, 2005. 11(1): p. 29-36.</w:t>
      </w:r>
    </w:p>
  </w:footnote>
  <w:footnote w:id="2">
    <w:p w14:paraId="6F846282" w14:textId="77777777" w:rsidR="00314494" w:rsidRPr="00950006" w:rsidRDefault="00314494" w:rsidP="00314494">
      <w:pPr>
        <w:pStyle w:val="FootnoteText"/>
        <w:rPr>
          <w:rFonts w:ascii="Times New Roman" w:hAnsi="Times New Roman" w:cs="Times New Roman"/>
          <w:sz w:val="18"/>
          <w:szCs w:val="18"/>
        </w:rPr>
      </w:pPr>
      <w:r w:rsidRPr="008F5A96">
        <w:rPr>
          <w:rStyle w:val="FootnoteReference"/>
          <w:rFonts w:ascii="Arial" w:hAnsi="Arial" w:cs="Arial"/>
          <w:sz w:val="18"/>
          <w:szCs w:val="18"/>
        </w:rPr>
        <w:footnoteRef/>
      </w:r>
      <w:r w:rsidRPr="008F5A96">
        <w:rPr>
          <w:rFonts w:ascii="Arial" w:hAnsi="Arial" w:cs="Arial"/>
          <w:sz w:val="18"/>
          <w:szCs w:val="18"/>
        </w:rPr>
        <w:t xml:space="preserve"> Yokoyama, K., et aI., Effects of a step-therapy program for angiotensin receptor blockers on antihypertensive medication utilization patterns and cost of drug therapy.) Manag Care Pharm, 2007. 13(3): p. 235-44.</w:t>
      </w:r>
    </w:p>
  </w:footnote>
  <w:footnote w:id="3">
    <w:p w14:paraId="44C3F702" w14:textId="77777777" w:rsidR="00314494" w:rsidRPr="008F5A96" w:rsidRDefault="00314494" w:rsidP="00314494">
      <w:pPr>
        <w:pStyle w:val="FootnoteText"/>
        <w:rPr>
          <w:rFonts w:ascii="Arial" w:hAnsi="Arial" w:cs="Arial"/>
          <w:sz w:val="18"/>
          <w:szCs w:val="18"/>
        </w:rPr>
      </w:pPr>
      <w:r w:rsidRPr="00AF16EA">
        <w:rPr>
          <w:rStyle w:val="FootnoteReference"/>
          <w:rFonts w:ascii="Calibri" w:hAnsi="Calibri" w:cs="Calibri"/>
          <w:sz w:val="18"/>
          <w:szCs w:val="18"/>
        </w:rPr>
        <w:footnoteRef/>
      </w:r>
      <w:r w:rsidRPr="00AF16EA">
        <w:rPr>
          <w:rFonts w:ascii="Calibri" w:hAnsi="Calibri" w:cs="Calibri"/>
          <w:sz w:val="18"/>
          <w:szCs w:val="18"/>
        </w:rPr>
        <w:t xml:space="preserve"> </w:t>
      </w:r>
      <w:r w:rsidRPr="008F5A96">
        <w:rPr>
          <w:rStyle w:val="ft3"/>
          <w:rFonts w:ascii="Arial" w:hAnsi="Arial" w:cs="Arial"/>
          <w:color w:val="000000"/>
          <w:sz w:val="18"/>
          <w:szCs w:val="18"/>
        </w:rPr>
        <w:t>Chambers JD, Kim DD, Pope EF, Graff JS, Wilkinson CL, Neumann PJ. Specialty Drug Coverage Varies Across Commercial Health Plans In The US. Health Affairs. </w:t>
      </w:r>
      <w:r w:rsidRPr="008F5A96">
        <w:rPr>
          <w:rFonts w:ascii="Arial" w:hAnsi="Arial" w:cs="Arial"/>
          <w:sz w:val="18"/>
          <w:szCs w:val="18"/>
        </w:rPr>
        <w:t>2018;37(7):1041-47.</w:t>
      </w:r>
    </w:p>
  </w:footnote>
  <w:footnote w:id="4">
    <w:p w14:paraId="68177B48" w14:textId="77777777" w:rsidR="00320279" w:rsidRPr="00914E88" w:rsidRDefault="00320279" w:rsidP="00320279">
      <w:pPr>
        <w:pStyle w:val="FootnoteText"/>
        <w:rPr>
          <w:rFonts w:ascii="Times New Roman" w:hAnsi="Times New Roman" w:cs="Times New Roman"/>
          <w:sz w:val="18"/>
          <w:szCs w:val="18"/>
        </w:rPr>
      </w:pPr>
      <w:r w:rsidRPr="008F5A96">
        <w:rPr>
          <w:rStyle w:val="FootnoteReference"/>
          <w:rFonts w:ascii="Arial" w:hAnsi="Arial" w:cs="Arial"/>
          <w:sz w:val="18"/>
          <w:szCs w:val="18"/>
        </w:rPr>
        <w:footnoteRef/>
      </w:r>
      <w:r w:rsidRPr="008F5A96">
        <w:rPr>
          <w:rFonts w:ascii="Arial" w:hAnsi="Arial" w:cs="Arial"/>
          <w:sz w:val="18"/>
          <w:szCs w:val="18"/>
        </w:rPr>
        <w:t xml:space="preserve"> Seabury SA, Goldman DP, Kalsekar I, Sheehan J, Laubmeier K, Laubmeier K (2014). Formulary Restrictions on Atypical Antipsychotics: Impacts on Costs for Patients with Schizophrenia and Bipolar Disorder in Medicaid. </w:t>
      </w:r>
      <w:r w:rsidRPr="008F5A96">
        <w:rPr>
          <w:rFonts w:ascii="Arial" w:hAnsi="Arial" w:cs="Arial"/>
          <w:i/>
          <w:sz w:val="18"/>
          <w:szCs w:val="18"/>
        </w:rPr>
        <w:t>American Journal of Managed Care, 20(2), pages e52-e60</w:t>
      </w:r>
    </w:p>
  </w:footnote>
  <w:footnote w:id="5">
    <w:p w14:paraId="2CE7E337" w14:textId="77777777" w:rsidR="00314494" w:rsidRPr="008F5A96" w:rsidRDefault="00314494" w:rsidP="00314494">
      <w:pPr>
        <w:pStyle w:val="FootnoteText"/>
        <w:rPr>
          <w:rFonts w:ascii="Arial" w:hAnsi="Arial" w:cs="Arial"/>
          <w:sz w:val="18"/>
          <w:szCs w:val="18"/>
        </w:rPr>
      </w:pPr>
      <w:r w:rsidRPr="008F5A96">
        <w:rPr>
          <w:rStyle w:val="FootnoteReference"/>
          <w:rFonts w:ascii="Arial" w:hAnsi="Arial" w:cs="Arial"/>
          <w:sz w:val="18"/>
          <w:szCs w:val="18"/>
        </w:rPr>
        <w:footnoteRef/>
      </w:r>
      <w:r w:rsidRPr="008F5A96">
        <w:rPr>
          <w:rFonts w:ascii="Arial" w:hAnsi="Arial" w:cs="Arial"/>
          <w:sz w:val="18"/>
          <w:szCs w:val="18"/>
        </w:rPr>
        <w:t xml:space="preserve"> </w:t>
      </w:r>
      <w:r w:rsidRPr="008F5A96">
        <w:rPr>
          <w:rFonts w:ascii="Arial" w:hAnsi="Arial" w:cs="Arial"/>
          <w:color w:val="000000"/>
          <w:sz w:val="18"/>
          <w:szCs w:val="18"/>
          <w:shd w:val="clear" w:color="auto" w:fill="FFFFFF"/>
        </w:rPr>
        <w:t>Panzer PE, Regan TS, Chiao E, Sarnes MW. Implications of an SSRI generic step therapy pharmacy benefit design: an economic model in anxiety disorders. Am J Manag Care. 2005;11(12 suppl):S370-S379. </w:t>
      </w:r>
    </w:p>
  </w:footnote>
  <w:footnote w:id="6">
    <w:p w14:paraId="57048680" w14:textId="77777777" w:rsidR="00314494" w:rsidRPr="008F5A96" w:rsidRDefault="00314494" w:rsidP="00314494">
      <w:pPr>
        <w:pStyle w:val="FootnoteText"/>
        <w:rPr>
          <w:rFonts w:ascii="Arial" w:hAnsi="Arial" w:cs="Arial"/>
          <w:sz w:val="18"/>
          <w:szCs w:val="18"/>
        </w:rPr>
      </w:pPr>
      <w:r w:rsidRPr="008F5A96">
        <w:rPr>
          <w:rStyle w:val="FootnoteReference"/>
          <w:rFonts w:ascii="Arial" w:hAnsi="Arial" w:cs="Arial"/>
          <w:sz w:val="18"/>
          <w:szCs w:val="18"/>
        </w:rPr>
        <w:footnoteRef/>
      </w:r>
      <w:r w:rsidRPr="008F5A96">
        <w:rPr>
          <w:rFonts w:ascii="Arial" w:hAnsi="Arial" w:cs="Arial"/>
          <w:sz w:val="18"/>
          <w:szCs w:val="18"/>
        </w:rPr>
        <w:t xml:space="preserve"> Carlton, R.I.; Bramley, T.J.;Nightengale, B.;Conner, T.M. &amp; Zacker, C. (2010) Review of outcomes associated with formulary restrictions: Focus on step therapy. </w:t>
      </w:r>
      <w:r w:rsidRPr="008F5A96">
        <w:rPr>
          <w:rFonts w:ascii="Arial" w:hAnsi="Arial" w:cs="Arial"/>
          <w:i/>
          <w:sz w:val="18"/>
          <w:szCs w:val="18"/>
        </w:rPr>
        <w:t>The American Journal of Pharmacy Benefits 2(1). 50-58</w:t>
      </w:r>
    </w:p>
  </w:footnote>
  <w:footnote w:id="7">
    <w:p w14:paraId="2636200C" w14:textId="77777777" w:rsidR="00A12EE6" w:rsidRPr="00914E88" w:rsidRDefault="00A12EE6" w:rsidP="00A12EE6">
      <w:pPr>
        <w:pStyle w:val="FootnoteText"/>
        <w:rPr>
          <w:rFonts w:ascii="Times New Roman" w:hAnsi="Times New Roman" w:cs="Times New Roman"/>
          <w:sz w:val="18"/>
          <w:szCs w:val="18"/>
        </w:rPr>
      </w:pPr>
      <w:r w:rsidRPr="008F5A96">
        <w:rPr>
          <w:rStyle w:val="FootnoteReference"/>
          <w:rFonts w:ascii="Arial" w:hAnsi="Arial" w:cs="Arial"/>
          <w:sz w:val="18"/>
          <w:szCs w:val="18"/>
        </w:rPr>
        <w:footnoteRef/>
      </w:r>
      <w:r w:rsidRPr="008F5A96">
        <w:rPr>
          <w:rFonts w:ascii="Arial" w:hAnsi="Arial" w:cs="Arial"/>
          <w:sz w:val="18"/>
          <w:szCs w:val="18"/>
        </w:rPr>
        <w:t xml:space="preserve"> Seabury SA, Goldman DP, Kalsekar I, Sheehan J, Laubmeier K, Laubmeier K (2014). Formulary Restrictions on Atypical Antipsychotics: Impacts on Costs for Patients with Schizophrenia and Bipolar Disorder in Medicaid. </w:t>
      </w:r>
      <w:r w:rsidRPr="008F5A96">
        <w:rPr>
          <w:rFonts w:ascii="Arial" w:hAnsi="Arial" w:cs="Arial"/>
          <w:i/>
          <w:sz w:val="18"/>
          <w:szCs w:val="18"/>
        </w:rPr>
        <w:t>American Journal of Managed Care, 20(2), pages e52-e60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915"/>
    <w:multiLevelType w:val="hybridMultilevel"/>
    <w:tmpl w:val="104A4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844726"/>
    <w:multiLevelType w:val="hybridMultilevel"/>
    <w:tmpl w:val="89C48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F40158"/>
    <w:multiLevelType w:val="hybridMultilevel"/>
    <w:tmpl w:val="4D704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E11300A"/>
    <w:multiLevelType w:val="hybridMultilevel"/>
    <w:tmpl w:val="6CE0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1E"/>
    <w:rsid w:val="000017C8"/>
    <w:rsid w:val="00015D50"/>
    <w:rsid w:val="00022F3B"/>
    <w:rsid w:val="00026D72"/>
    <w:rsid w:val="000365DF"/>
    <w:rsid w:val="00042C72"/>
    <w:rsid w:val="000516CC"/>
    <w:rsid w:val="00051B32"/>
    <w:rsid w:val="00053BB6"/>
    <w:rsid w:val="0006536E"/>
    <w:rsid w:val="00070E33"/>
    <w:rsid w:val="000800B7"/>
    <w:rsid w:val="00080C6D"/>
    <w:rsid w:val="00080E34"/>
    <w:rsid w:val="00097471"/>
    <w:rsid w:val="000A457D"/>
    <w:rsid w:val="000A7A41"/>
    <w:rsid w:val="000E0895"/>
    <w:rsid w:val="000E1F98"/>
    <w:rsid w:val="000F026F"/>
    <w:rsid w:val="001014C7"/>
    <w:rsid w:val="00102CA2"/>
    <w:rsid w:val="00111AF6"/>
    <w:rsid w:val="00114161"/>
    <w:rsid w:val="001344EF"/>
    <w:rsid w:val="001437D4"/>
    <w:rsid w:val="00147D2F"/>
    <w:rsid w:val="0015622A"/>
    <w:rsid w:val="00173996"/>
    <w:rsid w:val="001937FE"/>
    <w:rsid w:val="001A441F"/>
    <w:rsid w:val="001B1037"/>
    <w:rsid w:val="001C5CEC"/>
    <w:rsid w:val="001D608E"/>
    <w:rsid w:val="001D7702"/>
    <w:rsid w:val="001E0057"/>
    <w:rsid w:val="001E669A"/>
    <w:rsid w:val="001F5F56"/>
    <w:rsid w:val="00201A0F"/>
    <w:rsid w:val="00226662"/>
    <w:rsid w:val="00227478"/>
    <w:rsid w:val="00230090"/>
    <w:rsid w:val="00247710"/>
    <w:rsid w:val="00251AC8"/>
    <w:rsid w:val="00254772"/>
    <w:rsid w:val="00256723"/>
    <w:rsid w:val="00271C6A"/>
    <w:rsid w:val="00283D9D"/>
    <w:rsid w:val="00291C97"/>
    <w:rsid w:val="0029648C"/>
    <w:rsid w:val="002B58FC"/>
    <w:rsid w:val="002B69F2"/>
    <w:rsid w:val="002C0309"/>
    <w:rsid w:val="002C0722"/>
    <w:rsid w:val="002C1D79"/>
    <w:rsid w:val="002E021F"/>
    <w:rsid w:val="002F7B5D"/>
    <w:rsid w:val="0030043F"/>
    <w:rsid w:val="00310514"/>
    <w:rsid w:val="00314494"/>
    <w:rsid w:val="00320279"/>
    <w:rsid w:val="00323A0A"/>
    <w:rsid w:val="00324D88"/>
    <w:rsid w:val="00324D8C"/>
    <w:rsid w:val="0032578C"/>
    <w:rsid w:val="00331A49"/>
    <w:rsid w:val="00341932"/>
    <w:rsid w:val="00350E96"/>
    <w:rsid w:val="003539EC"/>
    <w:rsid w:val="003618B6"/>
    <w:rsid w:val="003675A2"/>
    <w:rsid w:val="00380C29"/>
    <w:rsid w:val="003827A7"/>
    <w:rsid w:val="003A3A15"/>
    <w:rsid w:val="003B26C1"/>
    <w:rsid w:val="003C381C"/>
    <w:rsid w:val="003D68E7"/>
    <w:rsid w:val="003E3A1E"/>
    <w:rsid w:val="003F3EDD"/>
    <w:rsid w:val="003F57A6"/>
    <w:rsid w:val="003F72EE"/>
    <w:rsid w:val="00402062"/>
    <w:rsid w:val="0040537F"/>
    <w:rsid w:val="004225C3"/>
    <w:rsid w:val="00432611"/>
    <w:rsid w:val="0043515B"/>
    <w:rsid w:val="00445DE0"/>
    <w:rsid w:val="0045163F"/>
    <w:rsid w:val="00462BEC"/>
    <w:rsid w:val="004660CF"/>
    <w:rsid w:val="00473819"/>
    <w:rsid w:val="00485439"/>
    <w:rsid w:val="00486F4C"/>
    <w:rsid w:val="004912A0"/>
    <w:rsid w:val="00491953"/>
    <w:rsid w:val="00491FB9"/>
    <w:rsid w:val="004A5253"/>
    <w:rsid w:val="004A655F"/>
    <w:rsid w:val="004A6794"/>
    <w:rsid w:val="004B1197"/>
    <w:rsid w:val="004B3490"/>
    <w:rsid w:val="004B6D6B"/>
    <w:rsid w:val="004C38A0"/>
    <w:rsid w:val="004C4047"/>
    <w:rsid w:val="004E1D8D"/>
    <w:rsid w:val="004F0FED"/>
    <w:rsid w:val="004F3899"/>
    <w:rsid w:val="004F7BA8"/>
    <w:rsid w:val="00507C57"/>
    <w:rsid w:val="00523E16"/>
    <w:rsid w:val="00530AFA"/>
    <w:rsid w:val="00551DAC"/>
    <w:rsid w:val="00553803"/>
    <w:rsid w:val="00553ADE"/>
    <w:rsid w:val="00561CFB"/>
    <w:rsid w:val="005655BD"/>
    <w:rsid w:val="00566795"/>
    <w:rsid w:val="00570A53"/>
    <w:rsid w:val="00572D56"/>
    <w:rsid w:val="00575BE5"/>
    <w:rsid w:val="00577415"/>
    <w:rsid w:val="00592B6A"/>
    <w:rsid w:val="005D2085"/>
    <w:rsid w:val="005D3C65"/>
    <w:rsid w:val="005D71CC"/>
    <w:rsid w:val="005E2F1C"/>
    <w:rsid w:val="005E497A"/>
    <w:rsid w:val="005E780B"/>
    <w:rsid w:val="005F07AA"/>
    <w:rsid w:val="005F7975"/>
    <w:rsid w:val="00601DD5"/>
    <w:rsid w:val="00605E76"/>
    <w:rsid w:val="00616E6C"/>
    <w:rsid w:val="00621B4A"/>
    <w:rsid w:val="00625CFC"/>
    <w:rsid w:val="006270AB"/>
    <w:rsid w:val="006448F5"/>
    <w:rsid w:val="006648AD"/>
    <w:rsid w:val="006663A5"/>
    <w:rsid w:val="006764EE"/>
    <w:rsid w:val="00687DBC"/>
    <w:rsid w:val="00692445"/>
    <w:rsid w:val="006969CB"/>
    <w:rsid w:val="00696D55"/>
    <w:rsid w:val="006B1675"/>
    <w:rsid w:val="006B3609"/>
    <w:rsid w:val="006B4946"/>
    <w:rsid w:val="006B582D"/>
    <w:rsid w:val="006D428A"/>
    <w:rsid w:val="006D4E27"/>
    <w:rsid w:val="006E0279"/>
    <w:rsid w:val="006F0366"/>
    <w:rsid w:val="006F2FB8"/>
    <w:rsid w:val="006F3B6B"/>
    <w:rsid w:val="006F7D8B"/>
    <w:rsid w:val="00701558"/>
    <w:rsid w:val="007104B3"/>
    <w:rsid w:val="00727298"/>
    <w:rsid w:val="00731734"/>
    <w:rsid w:val="007345DB"/>
    <w:rsid w:val="00736356"/>
    <w:rsid w:val="007378AE"/>
    <w:rsid w:val="00744B8D"/>
    <w:rsid w:val="007470DC"/>
    <w:rsid w:val="00750CBF"/>
    <w:rsid w:val="007517B0"/>
    <w:rsid w:val="00751A7C"/>
    <w:rsid w:val="00753009"/>
    <w:rsid w:val="007725F1"/>
    <w:rsid w:val="00782ECC"/>
    <w:rsid w:val="00787B5A"/>
    <w:rsid w:val="007B0638"/>
    <w:rsid w:val="007B501B"/>
    <w:rsid w:val="007B5429"/>
    <w:rsid w:val="007B6DDE"/>
    <w:rsid w:val="007C07A7"/>
    <w:rsid w:val="007D014D"/>
    <w:rsid w:val="007D5A96"/>
    <w:rsid w:val="007E326B"/>
    <w:rsid w:val="007E34B1"/>
    <w:rsid w:val="007E3648"/>
    <w:rsid w:val="007E58DB"/>
    <w:rsid w:val="00806568"/>
    <w:rsid w:val="008103CE"/>
    <w:rsid w:val="00821547"/>
    <w:rsid w:val="00832859"/>
    <w:rsid w:val="00834012"/>
    <w:rsid w:val="00834984"/>
    <w:rsid w:val="00843A2F"/>
    <w:rsid w:val="00846169"/>
    <w:rsid w:val="008468EC"/>
    <w:rsid w:val="0085457E"/>
    <w:rsid w:val="0085672E"/>
    <w:rsid w:val="00866768"/>
    <w:rsid w:val="008717D0"/>
    <w:rsid w:val="00875C1E"/>
    <w:rsid w:val="00877E79"/>
    <w:rsid w:val="008937F6"/>
    <w:rsid w:val="0089472D"/>
    <w:rsid w:val="008A55DA"/>
    <w:rsid w:val="008A5BF3"/>
    <w:rsid w:val="008A7F43"/>
    <w:rsid w:val="008B3FB1"/>
    <w:rsid w:val="008C40B1"/>
    <w:rsid w:val="008C606D"/>
    <w:rsid w:val="008D0F3A"/>
    <w:rsid w:val="008D16B2"/>
    <w:rsid w:val="008E07A0"/>
    <w:rsid w:val="008E47C7"/>
    <w:rsid w:val="008E5A36"/>
    <w:rsid w:val="008F4830"/>
    <w:rsid w:val="008F62B4"/>
    <w:rsid w:val="0091350E"/>
    <w:rsid w:val="00914505"/>
    <w:rsid w:val="00915924"/>
    <w:rsid w:val="009233C1"/>
    <w:rsid w:val="0092457D"/>
    <w:rsid w:val="00924859"/>
    <w:rsid w:val="00930B70"/>
    <w:rsid w:val="009347F3"/>
    <w:rsid w:val="009528BB"/>
    <w:rsid w:val="00952F2E"/>
    <w:rsid w:val="00956F02"/>
    <w:rsid w:val="0096496A"/>
    <w:rsid w:val="0096604B"/>
    <w:rsid w:val="00973DA2"/>
    <w:rsid w:val="00983C6A"/>
    <w:rsid w:val="009873BF"/>
    <w:rsid w:val="00997066"/>
    <w:rsid w:val="009A07BE"/>
    <w:rsid w:val="009A0CB2"/>
    <w:rsid w:val="009A779F"/>
    <w:rsid w:val="009B0667"/>
    <w:rsid w:val="009B135B"/>
    <w:rsid w:val="009C26A9"/>
    <w:rsid w:val="009D35C2"/>
    <w:rsid w:val="009D3840"/>
    <w:rsid w:val="009D5137"/>
    <w:rsid w:val="009D5C79"/>
    <w:rsid w:val="009E2CC3"/>
    <w:rsid w:val="009E33F0"/>
    <w:rsid w:val="009E6A16"/>
    <w:rsid w:val="009F7A84"/>
    <w:rsid w:val="00A00CF9"/>
    <w:rsid w:val="00A12EE6"/>
    <w:rsid w:val="00A22123"/>
    <w:rsid w:val="00A318F8"/>
    <w:rsid w:val="00A31972"/>
    <w:rsid w:val="00A374D4"/>
    <w:rsid w:val="00A41B53"/>
    <w:rsid w:val="00A4640C"/>
    <w:rsid w:val="00A6058D"/>
    <w:rsid w:val="00A708FC"/>
    <w:rsid w:val="00A7772C"/>
    <w:rsid w:val="00A91F5D"/>
    <w:rsid w:val="00AB3494"/>
    <w:rsid w:val="00AB6976"/>
    <w:rsid w:val="00AC2E36"/>
    <w:rsid w:val="00AC7709"/>
    <w:rsid w:val="00AD3A42"/>
    <w:rsid w:val="00AD7D89"/>
    <w:rsid w:val="00AE15E9"/>
    <w:rsid w:val="00AF1C16"/>
    <w:rsid w:val="00AF3E77"/>
    <w:rsid w:val="00AF56AA"/>
    <w:rsid w:val="00B02139"/>
    <w:rsid w:val="00B14632"/>
    <w:rsid w:val="00B44AE9"/>
    <w:rsid w:val="00B51810"/>
    <w:rsid w:val="00B52073"/>
    <w:rsid w:val="00B5427A"/>
    <w:rsid w:val="00B61552"/>
    <w:rsid w:val="00B90310"/>
    <w:rsid w:val="00B91DA2"/>
    <w:rsid w:val="00B93B11"/>
    <w:rsid w:val="00B972D2"/>
    <w:rsid w:val="00BB1128"/>
    <w:rsid w:val="00BB38F9"/>
    <w:rsid w:val="00BC36C4"/>
    <w:rsid w:val="00BD0FB0"/>
    <w:rsid w:val="00BD74C9"/>
    <w:rsid w:val="00BE1D2C"/>
    <w:rsid w:val="00BE2C12"/>
    <w:rsid w:val="00BE3070"/>
    <w:rsid w:val="00BE5E1C"/>
    <w:rsid w:val="00BF15A2"/>
    <w:rsid w:val="00C02DDD"/>
    <w:rsid w:val="00C04213"/>
    <w:rsid w:val="00C074D3"/>
    <w:rsid w:val="00C07D00"/>
    <w:rsid w:val="00C2166B"/>
    <w:rsid w:val="00C314F8"/>
    <w:rsid w:val="00C36028"/>
    <w:rsid w:val="00C40074"/>
    <w:rsid w:val="00C50893"/>
    <w:rsid w:val="00C545CB"/>
    <w:rsid w:val="00C629A1"/>
    <w:rsid w:val="00C637B8"/>
    <w:rsid w:val="00C73CDF"/>
    <w:rsid w:val="00C83DB2"/>
    <w:rsid w:val="00C86A77"/>
    <w:rsid w:val="00C969C4"/>
    <w:rsid w:val="00C97866"/>
    <w:rsid w:val="00CA1EF4"/>
    <w:rsid w:val="00CA31AF"/>
    <w:rsid w:val="00CB0E9C"/>
    <w:rsid w:val="00CB1C10"/>
    <w:rsid w:val="00CB20DA"/>
    <w:rsid w:val="00CB3AF5"/>
    <w:rsid w:val="00CB4ED6"/>
    <w:rsid w:val="00CB5CB2"/>
    <w:rsid w:val="00CC57B2"/>
    <w:rsid w:val="00CD7B40"/>
    <w:rsid w:val="00CF5268"/>
    <w:rsid w:val="00CF5E10"/>
    <w:rsid w:val="00CF7913"/>
    <w:rsid w:val="00D038C2"/>
    <w:rsid w:val="00D07DA8"/>
    <w:rsid w:val="00D12646"/>
    <w:rsid w:val="00D14A6A"/>
    <w:rsid w:val="00D15A8C"/>
    <w:rsid w:val="00D15E63"/>
    <w:rsid w:val="00D16084"/>
    <w:rsid w:val="00D271FC"/>
    <w:rsid w:val="00D3281F"/>
    <w:rsid w:val="00D33F31"/>
    <w:rsid w:val="00D41BEF"/>
    <w:rsid w:val="00D446EB"/>
    <w:rsid w:val="00D4565B"/>
    <w:rsid w:val="00D50EB2"/>
    <w:rsid w:val="00D54878"/>
    <w:rsid w:val="00D56E2B"/>
    <w:rsid w:val="00D60B4C"/>
    <w:rsid w:val="00D64FB8"/>
    <w:rsid w:val="00D75510"/>
    <w:rsid w:val="00D7574A"/>
    <w:rsid w:val="00D826B7"/>
    <w:rsid w:val="00D85E80"/>
    <w:rsid w:val="00D9575A"/>
    <w:rsid w:val="00DA2A9F"/>
    <w:rsid w:val="00DA3F38"/>
    <w:rsid w:val="00DA51E8"/>
    <w:rsid w:val="00DB6CEF"/>
    <w:rsid w:val="00DB7A58"/>
    <w:rsid w:val="00DC4284"/>
    <w:rsid w:val="00DC59E4"/>
    <w:rsid w:val="00DD1C8B"/>
    <w:rsid w:val="00DD59FC"/>
    <w:rsid w:val="00DE5876"/>
    <w:rsid w:val="00DF4721"/>
    <w:rsid w:val="00E1357B"/>
    <w:rsid w:val="00E26134"/>
    <w:rsid w:val="00E404ED"/>
    <w:rsid w:val="00E40844"/>
    <w:rsid w:val="00E42029"/>
    <w:rsid w:val="00E649DF"/>
    <w:rsid w:val="00E64E44"/>
    <w:rsid w:val="00E77951"/>
    <w:rsid w:val="00E80691"/>
    <w:rsid w:val="00E8181E"/>
    <w:rsid w:val="00E81EC8"/>
    <w:rsid w:val="00E86DA6"/>
    <w:rsid w:val="00E94B8A"/>
    <w:rsid w:val="00E959DA"/>
    <w:rsid w:val="00EA0C89"/>
    <w:rsid w:val="00EA5047"/>
    <w:rsid w:val="00EA61CA"/>
    <w:rsid w:val="00EB31A8"/>
    <w:rsid w:val="00EB368F"/>
    <w:rsid w:val="00ED306F"/>
    <w:rsid w:val="00EE4BE3"/>
    <w:rsid w:val="00EE614E"/>
    <w:rsid w:val="00EF2DC2"/>
    <w:rsid w:val="00F006C4"/>
    <w:rsid w:val="00F22B69"/>
    <w:rsid w:val="00F231CE"/>
    <w:rsid w:val="00F25A31"/>
    <w:rsid w:val="00F26D0B"/>
    <w:rsid w:val="00F31CA4"/>
    <w:rsid w:val="00F40BCB"/>
    <w:rsid w:val="00F40F1A"/>
    <w:rsid w:val="00F43B7D"/>
    <w:rsid w:val="00F43E97"/>
    <w:rsid w:val="00F5171B"/>
    <w:rsid w:val="00F67C0A"/>
    <w:rsid w:val="00F72FC5"/>
    <w:rsid w:val="00F73DED"/>
    <w:rsid w:val="00F74209"/>
    <w:rsid w:val="00F843A6"/>
    <w:rsid w:val="00F84EE1"/>
    <w:rsid w:val="00F922CB"/>
    <w:rsid w:val="00FA50BC"/>
    <w:rsid w:val="00FA7062"/>
    <w:rsid w:val="00FB3674"/>
    <w:rsid w:val="00FB7432"/>
    <w:rsid w:val="00FC3B2C"/>
    <w:rsid w:val="00FC3E04"/>
    <w:rsid w:val="00FC7FFC"/>
    <w:rsid w:val="00FE2257"/>
    <w:rsid w:val="00FE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DF8A"/>
  <w15:chartTrackingRefBased/>
  <w15:docId w15:val="{FF030FA4-0EEB-48F7-9F2D-14E008DA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1C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231CE"/>
  </w:style>
  <w:style w:type="paragraph" w:styleId="FootnoteText">
    <w:name w:val="footnote text"/>
    <w:basedOn w:val="Normal"/>
    <w:link w:val="FootnoteTextChar"/>
    <w:uiPriority w:val="99"/>
    <w:unhideWhenUsed/>
    <w:rsid w:val="00F231CE"/>
    <w:pPr>
      <w:spacing w:after="0" w:line="240" w:lineRule="auto"/>
    </w:pPr>
    <w:rPr>
      <w:sz w:val="20"/>
      <w:szCs w:val="20"/>
    </w:rPr>
  </w:style>
  <w:style w:type="character" w:customStyle="1" w:styleId="FootnoteTextChar">
    <w:name w:val="Footnote Text Char"/>
    <w:basedOn w:val="DefaultParagraphFont"/>
    <w:link w:val="FootnoteText"/>
    <w:uiPriority w:val="99"/>
    <w:rsid w:val="00F231CE"/>
    <w:rPr>
      <w:sz w:val="20"/>
      <w:szCs w:val="20"/>
    </w:rPr>
  </w:style>
  <w:style w:type="character" w:styleId="FootnoteReference">
    <w:name w:val="footnote reference"/>
    <w:basedOn w:val="DefaultParagraphFont"/>
    <w:uiPriority w:val="99"/>
    <w:semiHidden/>
    <w:unhideWhenUsed/>
    <w:rsid w:val="00F231CE"/>
    <w:rPr>
      <w:vertAlign w:val="superscript"/>
    </w:rPr>
  </w:style>
  <w:style w:type="character" w:styleId="CommentReference">
    <w:name w:val="annotation reference"/>
    <w:basedOn w:val="DefaultParagraphFont"/>
    <w:uiPriority w:val="99"/>
    <w:semiHidden/>
    <w:unhideWhenUsed/>
    <w:rsid w:val="00523E16"/>
    <w:rPr>
      <w:sz w:val="16"/>
      <w:szCs w:val="16"/>
    </w:rPr>
  </w:style>
  <w:style w:type="paragraph" w:styleId="CommentText">
    <w:name w:val="annotation text"/>
    <w:basedOn w:val="Normal"/>
    <w:link w:val="CommentTextChar"/>
    <w:uiPriority w:val="99"/>
    <w:unhideWhenUsed/>
    <w:rsid w:val="00523E16"/>
    <w:pPr>
      <w:spacing w:line="240" w:lineRule="auto"/>
    </w:pPr>
    <w:rPr>
      <w:sz w:val="20"/>
      <w:szCs w:val="20"/>
    </w:rPr>
  </w:style>
  <w:style w:type="character" w:customStyle="1" w:styleId="CommentTextChar">
    <w:name w:val="Comment Text Char"/>
    <w:basedOn w:val="DefaultParagraphFont"/>
    <w:link w:val="CommentText"/>
    <w:uiPriority w:val="99"/>
    <w:rsid w:val="00523E16"/>
    <w:rPr>
      <w:sz w:val="20"/>
      <w:szCs w:val="20"/>
    </w:rPr>
  </w:style>
  <w:style w:type="paragraph" w:styleId="CommentSubject">
    <w:name w:val="annotation subject"/>
    <w:basedOn w:val="CommentText"/>
    <w:next w:val="CommentText"/>
    <w:link w:val="CommentSubjectChar"/>
    <w:uiPriority w:val="99"/>
    <w:semiHidden/>
    <w:unhideWhenUsed/>
    <w:rsid w:val="00523E16"/>
    <w:rPr>
      <w:b/>
      <w:bCs/>
    </w:rPr>
  </w:style>
  <w:style w:type="character" w:customStyle="1" w:styleId="CommentSubjectChar">
    <w:name w:val="Comment Subject Char"/>
    <w:basedOn w:val="CommentTextChar"/>
    <w:link w:val="CommentSubject"/>
    <w:uiPriority w:val="99"/>
    <w:semiHidden/>
    <w:rsid w:val="00523E16"/>
    <w:rPr>
      <w:b/>
      <w:bCs/>
      <w:sz w:val="20"/>
      <w:szCs w:val="20"/>
    </w:rPr>
  </w:style>
  <w:style w:type="paragraph" w:styleId="BalloonText">
    <w:name w:val="Balloon Text"/>
    <w:basedOn w:val="Normal"/>
    <w:link w:val="BalloonTextChar"/>
    <w:uiPriority w:val="99"/>
    <w:semiHidden/>
    <w:unhideWhenUsed/>
    <w:rsid w:val="0052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16"/>
    <w:rPr>
      <w:rFonts w:ascii="Segoe UI" w:hAnsi="Segoe UI" w:cs="Segoe UI"/>
      <w:sz w:val="18"/>
      <w:szCs w:val="18"/>
    </w:rPr>
  </w:style>
  <w:style w:type="character" w:styleId="Hyperlink">
    <w:name w:val="Hyperlink"/>
    <w:basedOn w:val="DefaultParagraphFont"/>
    <w:uiPriority w:val="99"/>
    <w:unhideWhenUsed/>
    <w:rsid w:val="004F3899"/>
    <w:rPr>
      <w:color w:val="0563C1" w:themeColor="hyperlink"/>
      <w:u w:val="single"/>
    </w:rPr>
  </w:style>
  <w:style w:type="paragraph" w:styleId="BodyText">
    <w:name w:val="Body Text"/>
    <w:basedOn w:val="Normal"/>
    <w:link w:val="BodyTextChar"/>
    <w:uiPriority w:val="1"/>
    <w:qFormat/>
    <w:rsid w:val="006B4946"/>
    <w:pPr>
      <w:spacing w:before="55" w:after="0" w:line="194" w:lineRule="exact"/>
      <w:ind w:left="212" w:right="9437"/>
      <w:jc w:val="center"/>
    </w:pPr>
    <w:rPr>
      <w:rFonts w:ascii="DINOT-Bold" w:eastAsia="DINOT-Bold" w:hAnsi="DINOT-Bold" w:cs="DINOT-Bold"/>
      <w:b/>
      <w:bCs/>
      <w:sz w:val="16"/>
      <w:szCs w:val="16"/>
    </w:rPr>
  </w:style>
  <w:style w:type="character" w:customStyle="1" w:styleId="BodyTextChar">
    <w:name w:val="Body Text Char"/>
    <w:basedOn w:val="DefaultParagraphFont"/>
    <w:link w:val="BodyText"/>
    <w:uiPriority w:val="1"/>
    <w:rsid w:val="006B4946"/>
    <w:rPr>
      <w:rFonts w:ascii="DINOT-Bold" w:eastAsia="DINOT-Bold" w:hAnsi="DINOT-Bold" w:cs="DINOT-Bold"/>
      <w:b/>
      <w:bCs/>
      <w:sz w:val="16"/>
      <w:szCs w:val="16"/>
    </w:rPr>
  </w:style>
  <w:style w:type="paragraph" w:styleId="Header">
    <w:name w:val="header"/>
    <w:basedOn w:val="Normal"/>
    <w:link w:val="HeaderChar"/>
    <w:uiPriority w:val="99"/>
    <w:unhideWhenUsed/>
    <w:rsid w:val="00036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DF"/>
  </w:style>
  <w:style w:type="paragraph" w:styleId="Footer">
    <w:name w:val="footer"/>
    <w:basedOn w:val="Normal"/>
    <w:link w:val="FooterChar"/>
    <w:uiPriority w:val="99"/>
    <w:unhideWhenUsed/>
    <w:rsid w:val="0003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DF"/>
  </w:style>
  <w:style w:type="paragraph" w:styleId="ListParagraph">
    <w:name w:val="List Paragraph"/>
    <w:basedOn w:val="Normal"/>
    <w:uiPriority w:val="34"/>
    <w:qFormat/>
    <w:rsid w:val="00C04213"/>
    <w:pPr>
      <w:ind w:left="720"/>
      <w:contextualSpacing/>
    </w:pPr>
  </w:style>
  <w:style w:type="paragraph" w:styleId="NoSpacing">
    <w:name w:val="No Spacing"/>
    <w:uiPriority w:val="1"/>
    <w:qFormat/>
    <w:rsid w:val="0040537F"/>
    <w:pPr>
      <w:spacing w:after="0" w:line="240" w:lineRule="auto"/>
    </w:pPr>
    <w:rPr>
      <w:sz w:val="24"/>
      <w:szCs w:val="24"/>
    </w:rPr>
  </w:style>
  <w:style w:type="character" w:customStyle="1" w:styleId="ft3">
    <w:name w:val="ft3"/>
    <w:basedOn w:val="DefaultParagraphFont"/>
    <w:rsid w:val="00553ADE"/>
  </w:style>
  <w:style w:type="paragraph" w:customStyle="1" w:styleId="Normal1">
    <w:name w:val="Normal1"/>
    <w:rsid w:val="006F7D8B"/>
    <w:rPr>
      <w:rFonts w:ascii="Calibri" w:eastAsia="Calibri" w:hAnsi="Calibri" w:cs="Calibri"/>
      <w:color w:val="000000"/>
      <w:szCs w:val="20"/>
    </w:rPr>
  </w:style>
  <w:style w:type="character" w:customStyle="1" w:styleId="normaltextrun">
    <w:name w:val="normaltextrun"/>
    <w:basedOn w:val="DefaultParagraphFont"/>
    <w:rsid w:val="007E34B1"/>
  </w:style>
  <w:style w:type="character" w:styleId="EndnoteReference">
    <w:name w:val="endnote reference"/>
    <w:basedOn w:val="DefaultParagraphFont"/>
    <w:uiPriority w:val="99"/>
    <w:semiHidden/>
    <w:unhideWhenUsed/>
    <w:rsid w:val="00314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9670">
      <w:bodyDiv w:val="1"/>
      <w:marLeft w:val="0"/>
      <w:marRight w:val="0"/>
      <w:marTop w:val="0"/>
      <w:marBottom w:val="0"/>
      <w:divBdr>
        <w:top w:val="none" w:sz="0" w:space="0" w:color="auto"/>
        <w:left w:val="none" w:sz="0" w:space="0" w:color="auto"/>
        <w:bottom w:val="none" w:sz="0" w:space="0" w:color="auto"/>
        <w:right w:val="none" w:sz="0" w:space="0" w:color="auto"/>
      </w:divBdr>
    </w:div>
    <w:div w:id="204752288">
      <w:bodyDiv w:val="1"/>
      <w:marLeft w:val="0"/>
      <w:marRight w:val="0"/>
      <w:marTop w:val="0"/>
      <w:marBottom w:val="0"/>
      <w:divBdr>
        <w:top w:val="none" w:sz="0" w:space="0" w:color="auto"/>
        <w:left w:val="none" w:sz="0" w:space="0" w:color="auto"/>
        <w:bottom w:val="none" w:sz="0" w:space="0" w:color="auto"/>
        <w:right w:val="none" w:sz="0" w:space="0" w:color="auto"/>
      </w:divBdr>
    </w:div>
    <w:div w:id="360010961">
      <w:bodyDiv w:val="1"/>
      <w:marLeft w:val="0"/>
      <w:marRight w:val="0"/>
      <w:marTop w:val="0"/>
      <w:marBottom w:val="0"/>
      <w:divBdr>
        <w:top w:val="none" w:sz="0" w:space="0" w:color="auto"/>
        <w:left w:val="none" w:sz="0" w:space="0" w:color="auto"/>
        <w:bottom w:val="none" w:sz="0" w:space="0" w:color="auto"/>
        <w:right w:val="none" w:sz="0" w:space="0" w:color="auto"/>
      </w:divBdr>
    </w:div>
    <w:div w:id="440347391">
      <w:bodyDiv w:val="1"/>
      <w:marLeft w:val="0"/>
      <w:marRight w:val="0"/>
      <w:marTop w:val="0"/>
      <w:marBottom w:val="0"/>
      <w:divBdr>
        <w:top w:val="none" w:sz="0" w:space="0" w:color="auto"/>
        <w:left w:val="none" w:sz="0" w:space="0" w:color="auto"/>
        <w:bottom w:val="none" w:sz="0" w:space="0" w:color="auto"/>
        <w:right w:val="none" w:sz="0" w:space="0" w:color="auto"/>
      </w:divBdr>
    </w:div>
    <w:div w:id="581522524">
      <w:bodyDiv w:val="1"/>
      <w:marLeft w:val="0"/>
      <w:marRight w:val="0"/>
      <w:marTop w:val="0"/>
      <w:marBottom w:val="0"/>
      <w:divBdr>
        <w:top w:val="none" w:sz="0" w:space="0" w:color="auto"/>
        <w:left w:val="none" w:sz="0" w:space="0" w:color="auto"/>
        <w:bottom w:val="none" w:sz="0" w:space="0" w:color="auto"/>
        <w:right w:val="none" w:sz="0" w:space="0" w:color="auto"/>
      </w:divBdr>
    </w:div>
    <w:div w:id="616914191">
      <w:bodyDiv w:val="1"/>
      <w:marLeft w:val="0"/>
      <w:marRight w:val="0"/>
      <w:marTop w:val="0"/>
      <w:marBottom w:val="0"/>
      <w:divBdr>
        <w:top w:val="none" w:sz="0" w:space="0" w:color="auto"/>
        <w:left w:val="none" w:sz="0" w:space="0" w:color="auto"/>
        <w:bottom w:val="none" w:sz="0" w:space="0" w:color="auto"/>
        <w:right w:val="none" w:sz="0" w:space="0" w:color="auto"/>
      </w:divBdr>
    </w:div>
    <w:div w:id="826095196">
      <w:bodyDiv w:val="1"/>
      <w:marLeft w:val="0"/>
      <w:marRight w:val="0"/>
      <w:marTop w:val="0"/>
      <w:marBottom w:val="0"/>
      <w:divBdr>
        <w:top w:val="none" w:sz="0" w:space="0" w:color="auto"/>
        <w:left w:val="none" w:sz="0" w:space="0" w:color="auto"/>
        <w:bottom w:val="none" w:sz="0" w:space="0" w:color="auto"/>
        <w:right w:val="none" w:sz="0" w:space="0" w:color="auto"/>
      </w:divBdr>
    </w:div>
    <w:div w:id="1151558283">
      <w:bodyDiv w:val="1"/>
      <w:marLeft w:val="0"/>
      <w:marRight w:val="0"/>
      <w:marTop w:val="0"/>
      <w:marBottom w:val="0"/>
      <w:divBdr>
        <w:top w:val="none" w:sz="0" w:space="0" w:color="auto"/>
        <w:left w:val="none" w:sz="0" w:space="0" w:color="auto"/>
        <w:bottom w:val="none" w:sz="0" w:space="0" w:color="auto"/>
        <w:right w:val="none" w:sz="0" w:space="0" w:color="auto"/>
      </w:divBdr>
    </w:div>
    <w:div w:id="1219052114">
      <w:bodyDiv w:val="1"/>
      <w:marLeft w:val="0"/>
      <w:marRight w:val="0"/>
      <w:marTop w:val="0"/>
      <w:marBottom w:val="0"/>
      <w:divBdr>
        <w:top w:val="none" w:sz="0" w:space="0" w:color="auto"/>
        <w:left w:val="none" w:sz="0" w:space="0" w:color="auto"/>
        <w:bottom w:val="none" w:sz="0" w:space="0" w:color="auto"/>
        <w:right w:val="none" w:sz="0" w:space="0" w:color="auto"/>
      </w:divBdr>
    </w:div>
    <w:div w:id="1293174990">
      <w:bodyDiv w:val="1"/>
      <w:marLeft w:val="0"/>
      <w:marRight w:val="0"/>
      <w:marTop w:val="0"/>
      <w:marBottom w:val="0"/>
      <w:divBdr>
        <w:top w:val="none" w:sz="0" w:space="0" w:color="auto"/>
        <w:left w:val="none" w:sz="0" w:space="0" w:color="auto"/>
        <w:bottom w:val="none" w:sz="0" w:space="0" w:color="auto"/>
        <w:right w:val="none" w:sz="0" w:space="0" w:color="auto"/>
      </w:divBdr>
    </w:div>
    <w:div w:id="1558584271">
      <w:bodyDiv w:val="1"/>
      <w:marLeft w:val="0"/>
      <w:marRight w:val="0"/>
      <w:marTop w:val="0"/>
      <w:marBottom w:val="0"/>
      <w:divBdr>
        <w:top w:val="none" w:sz="0" w:space="0" w:color="auto"/>
        <w:left w:val="none" w:sz="0" w:space="0" w:color="auto"/>
        <w:bottom w:val="none" w:sz="0" w:space="0" w:color="auto"/>
        <w:right w:val="none" w:sz="0" w:space="0" w:color="auto"/>
      </w:divBdr>
    </w:div>
    <w:div w:id="1882982723">
      <w:bodyDiv w:val="1"/>
      <w:marLeft w:val="0"/>
      <w:marRight w:val="0"/>
      <w:marTop w:val="0"/>
      <w:marBottom w:val="0"/>
      <w:divBdr>
        <w:top w:val="none" w:sz="0" w:space="0" w:color="auto"/>
        <w:left w:val="none" w:sz="0" w:space="0" w:color="auto"/>
        <w:bottom w:val="none" w:sz="0" w:space="0" w:color="auto"/>
        <w:right w:val="none" w:sz="0" w:space="0" w:color="auto"/>
      </w:divBdr>
    </w:div>
    <w:div w:id="1950888564">
      <w:bodyDiv w:val="1"/>
      <w:marLeft w:val="0"/>
      <w:marRight w:val="0"/>
      <w:marTop w:val="0"/>
      <w:marBottom w:val="0"/>
      <w:divBdr>
        <w:top w:val="none" w:sz="0" w:space="0" w:color="auto"/>
        <w:left w:val="none" w:sz="0" w:space="0" w:color="auto"/>
        <w:bottom w:val="none" w:sz="0" w:space="0" w:color="auto"/>
        <w:right w:val="none" w:sz="0" w:space="0" w:color="auto"/>
      </w:divBdr>
    </w:div>
    <w:div w:id="21048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duffy-goche@psoriasi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soria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9B3B4F9129149BEF22129BBD1B991" ma:contentTypeVersion="15" ma:contentTypeDescription="Create a new document." ma:contentTypeScope="" ma:versionID="f7c202099ebd452653cf2dd56c4e62a2">
  <xsd:schema xmlns:xsd="http://www.w3.org/2001/XMLSchema" xmlns:xs="http://www.w3.org/2001/XMLSchema" xmlns:p="http://schemas.microsoft.com/office/2006/metadata/properties" xmlns:ns1="http://schemas.microsoft.com/sharepoint/v3" xmlns:ns3="76d138ad-85e3-41a5-8a38-4af08337c44d" xmlns:ns4="5d80233a-14ef-4c57-a9cd-8da472fb75e4" targetNamespace="http://schemas.microsoft.com/office/2006/metadata/properties" ma:root="true" ma:fieldsID="46522e2f42795c45284829c53b536631" ns1:_="" ns3:_="" ns4:_="">
    <xsd:import namespace="http://schemas.microsoft.com/sharepoint/v3"/>
    <xsd:import namespace="76d138ad-85e3-41a5-8a38-4af08337c44d"/>
    <xsd:import namespace="5d80233a-14ef-4c57-a9cd-8da472fb75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138ad-85e3-41a5-8a38-4af08337c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0233a-14ef-4c57-a9cd-8da472fb75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Ame</b:Tag>
    <b:SourceType>InternetSite</b:SourceType>
    <b:Guid>{94CFA61D-6BFC-4191-A011-A59BCFD7E932}</b:Guid>
    <b:Title>Medication Guides</b:Title>
    <b:Author>
      <b:Author>
        <b:NameList>
          <b:Person>
            <b:Last>Rheumatology</b:Last>
            <b:First>American</b:First>
            <b:Middle>College of</b:Middle>
          </b:Person>
        </b:NameList>
      </b:Author>
    </b:Author>
    <b:InternetSiteTitle>Infliximab (remicade)</b:InternetSiteTitle>
    <b:URL>https://www.rheumatology.org/Learning-Center/Medication-Guides/Medication-Guide-Infliximab-Remicade</b:URL>
    <b:RefOrder>1</b:RefOrder>
  </b:Source>
  <b:Source>
    <b:Tag>Ame1</b:Tag>
    <b:SourceType>InternetSite</b:SourceType>
    <b:Guid>{78B3C7FE-1802-43FD-8A4B-BF4DFBB3A9C0}</b:Guid>
    <b:Author>
      <b:Author>
        <b:NameList>
          <b:Person>
            <b:Last>Rheimatology</b:Last>
            <b:First>American</b:First>
            <b:Middle>College of</b:Middle>
          </b:Person>
        </b:NameList>
      </b:Author>
    </b:Author>
    <b:Title>Medication Guides</b:Title>
    <b:InternetSiteTitle>Infliximab (Remicade)</b:InternetSiteTitle>
    <b:URL>https://www.rheumatology.org/Learning-Center/Medication-Guides/Medication-Guide-Infliximab-Remicade</b:URL>
    <b:RefOrder>2</b:RefOrder>
  </b:Source>
  <b:Source>
    <b:Tag>Ore</b:Tag>
    <b:SourceType>InternetSite</b:SourceType>
    <b:Guid>{06E99D51-8534-45D4-8FE4-4C4544035A0F}</b:Guid>
    <b:Author>
      <b:Author>
        <b:NameList>
          <b:Person>
            <b:Last>Authority</b:Last>
            <b:First>Oregon</b:First>
            <b:Middle>Health</b:Middle>
          </b:Person>
        </b:NameList>
      </b:Author>
    </b:Author>
    <b:Title>Data and Reports</b:Title>
    <b:InternetSiteTitle>Monthly Medicaid Population Report-March 2018</b:InternetSiteTitle>
    <b:URL>http://www.oregon.gov/oha/HSD/OHP/DataReportsDocs/March%202018%20Total%20CCO%20Managed%20Care%20and%20FFS%20Enrollment.pdf</b:URL>
    <b:RefOrder>3</b:RefOrder>
  </b:Source>
  <b:Source>
    <b:Tag>Ins16</b:Tag>
    <b:SourceType>Report</b:SourceType>
    <b:Guid>{99F78047-802F-484C-B503-07124BAA7205}</b:Guid>
    <b:Author>
      <b:Author>
        <b:NameList>
          <b:Person>
            <b:Last>Review</b:Last>
            <b:First>Institute</b:First>
            <b:Middle>for Clinical and Economic</b:Middle>
          </b:Person>
        </b:NameList>
      </b:Author>
    </b:Author>
    <b:Title>Targeted Immunomodulators for the Treatment of Moderate-to-Severe Plaque Psoriasis: Effectiveness and Value</b:Title>
    <b:Year>2016</b:Year>
    <b:Publisher>New England Comparative Effectiveness Public Advisory Council </b:Publisher>
    <b:RefOrder>4</b:RefOrder>
  </b:Source>
</b:Sources>
</file>

<file path=customXml/itemProps1.xml><?xml version="1.0" encoding="utf-8"?>
<ds:datastoreItem xmlns:ds="http://schemas.openxmlformats.org/officeDocument/2006/customXml" ds:itemID="{146E1035-78EB-4795-BA34-AD51621A3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138ad-85e3-41a5-8a38-4af08337c44d"/>
    <ds:schemaRef ds:uri="5d80233a-14ef-4c57-a9cd-8da472fb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660C7-AFBC-44BF-9349-CF0931C2F98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8E87B48-6274-4E4A-9E09-C47DBDE86498}">
  <ds:schemaRefs>
    <ds:schemaRef ds:uri="http://schemas.microsoft.com/sharepoint/v3/contenttype/forms"/>
  </ds:schemaRefs>
</ds:datastoreItem>
</file>

<file path=customXml/itemProps4.xml><?xml version="1.0" encoding="utf-8"?>
<ds:datastoreItem xmlns:ds="http://schemas.openxmlformats.org/officeDocument/2006/customXml" ds:itemID="{FEE6C463-40A8-495E-9CE4-CE889EE8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Duffy-Goche</dc:creator>
  <cp:keywords/>
  <dc:description/>
  <cp:lastModifiedBy>Brittany Duffy-Goche</cp:lastModifiedBy>
  <cp:revision>77</cp:revision>
  <cp:lastPrinted>2018-05-09T14:09:00Z</cp:lastPrinted>
  <dcterms:created xsi:type="dcterms:W3CDTF">2020-07-16T14:44:00Z</dcterms:created>
  <dcterms:modified xsi:type="dcterms:W3CDTF">2020-07-27T16:57:00Z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0x010100B4B9B3B4F9129149BEF22129BBD1B991</vt:lpwstr>
  </property>
</Properties>
</file>